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E28BE" w14:textId="1C5950DD" w:rsidR="00E203C2" w:rsidRDefault="00E203C2" w:rsidP="00E203C2">
      <w:bookmarkStart w:id="0" w:name="_GoBack"/>
      <w:bookmarkEnd w:id="0"/>
      <w:r>
        <w:rPr>
          <w:noProof/>
          <w:lang w:eastAsia="en-GB" w:bidi="ar-SA"/>
        </w:rPr>
        <w:drawing>
          <wp:inline distT="0" distB="0" distL="0" distR="0" wp14:anchorId="4098C8A5" wp14:editId="297FEF5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1CDF1B6" w14:textId="77777777" w:rsidR="00E203C2" w:rsidRDefault="00E203C2" w:rsidP="00E203C2"/>
    <w:p w14:paraId="04BEDA84" w14:textId="6F6BEFAE" w:rsidR="00CA641D" w:rsidRPr="00366C78" w:rsidRDefault="00366C78" w:rsidP="00CA641D">
      <w:pPr>
        <w:rPr>
          <w:b/>
          <w:sz w:val="28"/>
          <w:szCs w:val="28"/>
        </w:rPr>
      </w:pPr>
      <w:r w:rsidRPr="00366C78">
        <w:rPr>
          <w:b/>
          <w:sz w:val="28"/>
          <w:szCs w:val="28"/>
        </w:rPr>
        <w:t>20 May 2022</w:t>
      </w:r>
    </w:p>
    <w:p w14:paraId="28D1B61F" w14:textId="1845FCC7" w:rsidR="00CA641D" w:rsidRPr="00366C78" w:rsidRDefault="00366C78" w:rsidP="00CA641D">
      <w:pPr>
        <w:rPr>
          <w:b/>
          <w:sz w:val="28"/>
          <w:szCs w:val="28"/>
        </w:rPr>
      </w:pPr>
      <w:r w:rsidRPr="00366C78">
        <w:rPr>
          <w:b/>
          <w:sz w:val="28"/>
          <w:szCs w:val="28"/>
        </w:rPr>
        <w:t>201-22</w:t>
      </w:r>
    </w:p>
    <w:p w14:paraId="104497A2" w14:textId="77777777" w:rsidR="0057615C" w:rsidRPr="00366C78" w:rsidRDefault="0057615C" w:rsidP="00690206">
      <w:pPr>
        <w:pStyle w:val="FSTitle"/>
        <w:rPr>
          <w:b/>
          <w:sz w:val="22"/>
        </w:rPr>
      </w:pPr>
    </w:p>
    <w:p w14:paraId="3279E98F" w14:textId="4269398B"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37AF4">
        <w:rPr>
          <w:b/>
        </w:rPr>
        <w:t>1</w:t>
      </w:r>
    </w:p>
    <w:p w14:paraId="4C1AE5AB" w14:textId="77777777" w:rsidR="002A5CA6" w:rsidRDefault="002A5CA6" w:rsidP="00E203C2"/>
    <w:p w14:paraId="116B0160" w14:textId="462455DB" w:rsidR="005721CC" w:rsidRPr="005721CC" w:rsidRDefault="00AD54C9" w:rsidP="005721CC">
      <w:pPr>
        <w:pStyle w:val="FSTitle"/>
        <w:rPr>
          <w:b/>
        </w:rPr>
      </w:pPr>
      <w:r>
        <w:t xml:space="preserve">Risk and </w:t>
      </w:r>
      <w:r w:rsidR="005721CC" w:rsidRPr="005721CC">
        <w:t xml:space="preserve">Technical </w:t>
      </w:r>
      <w:r>
        <w:t>A</w:t>
      </w:r>
      <w:r w:rsidR="005721CC" w:rsidRPr="005721CC">
        <w:t xml:space="preserve">ssessment </w:t>
      </w:r>
      <w:r w:rsidR="006B5EBE" w:rsidRPr="005721CC">
        <w:t xml:space="preserve">– </w:t>
      </w:r>
      <w:r w:rsidR="00D056F1" w:rsidRPr="005721CC">
        <w:t>A</w:t>
      </w:r>
      <w:r w:rsidR="00B12F1E" w:rsidRPr="005721CC">
        <w:t>pplication</w:t>
      </w:r>
      <w:r w:rsidR="005721CC" w:rsidRPr="005721CC">
        <w:t xml:space="preserve"> A1240</w:t>
      </w:r>
    </w:p>
    <w:p w14:paraId="512077B2" w14:textId="6B601D8A" w:rsidR="005721CC" w:rsidRPr="005721CC" w:rsidRDefault="005721CC" w:rsidP="005721CC">
      <w:pPr>
        <w:pStyle w:val="FSTitle"/>
        <w:rPr>
          <w:sz w:val="22"/>
          <w:szCs w:val="22"/>
        </w:rPr>
      </w:pPr>
    </w:p>
    <w:p w14:paraId="0CC369E9" w14:textId="61C4DF1A" w:rsidR="00D056F1" w:rsidRPr="005721CC" w:rsidRDefault="005721CC" w:rsidP="00690206">
      <w:pPr>
        <w:pStyle w:val="FSTitle"/>
      </w:pPr>
      <w:r w:rsidRPr="005721CC">
        <w:rPr>
          <w:lang w:val="en-AU"/>
        </w:rPr>
        <w:t xml:space="preserve">Polygalacturonase from GM </w:t>
      </w:r>
      <w:r w:rsidRPr="005721CC">
        <w:rPr>
          <w:i/>
          <w:lang w:val="en-AU"/>
        </w:rPr>
        <w:t>Aspergillus oryzae</w:t>
      </w:r>
      <w:r w:rsidR="002777D9">
        <w:rPr>
          <w:i/>
          <w:lang w:val="en-AU"/>
        </w:rPr>
        <w:t xml:space="preserve"> </w:t>
      </w:r>
      <w:r w:rsidR="002777D9">
        <w:rPr>
          <w:lang w:val="en-AU"/>
        </w:rPr>
        <w:t>as a processing aid</w:t>
      </w:r>
    </w:p>
    <w:p w14:paraId="3FC2B482" w14:textId="77777777" w:rsidR="00E203C2" w:rsidRPr="00B37BF0" w:rsidRDefault="00E203C2" w:rsidP="00E203C2">
      <w:pPr>
        <w:pBdr>
          <w:bottom w:val="single" w:sz="12" w:space="1" w:color="auto"/>
        </w:pBdr>
        <w:spacing w:line="280" w:lineRule="exact"/>
        <w:rPr>
          <w:rFonts w:cs="Arial"/>
          <w:bCs/>
        </w:rPr>
      </w:pPr>
    </w:p>
    <w:p w14:paraId="2B93C727" w14:textId="77777777" w:rsidR="00E203C2" w:rsidRPr="00B37BF0" w:rsidRDefault="00E203C2" w:rsidP="00E203C2"/>
    <w:p w14:paraId="5F4BFA88" w14:textId="77777777" w:rsidR="00092CDA" w:rsidRPr="00092CDA" w:rsidRDefault="00092CDA" w:rsidP="00352CF2">
      <w:pPr>
        <w:pStyle w:val="Heading1"/>
        <w:spacing w:before="0"/>
      </w:pPr>
      <w:bookmarkStart w:id="1" w:name="_Toc286391001"/>
      <w:bookmarkStart w:id="2" w:name="_Toc300933414"/>
      <w:bookmarkStart w:id="3" w:name="_Toc99464544"/>
      <w:bookmarkStart w:id="4" w:name="_Toc99458041"/>
      <w:bookmarkStart w:id="5" w:name="_Toc103671965"/>
      <w:r w:rsidRPr="00092CDA">
        <w:t xml:space="preserve">Executive </w:t>
      </w:r>
      <w:r w:rsidR="00B12F1E">
        <w:t>s</w:t>
      </w:r>
      <w:r w:rsidRPr="00092CDA">
        <w:t>ummary</w:t>
      </w:r>
      <w:bookmarkEnd w:id="1"/>
      <w:bookmarkEnd w:id="2"/>
      <w:bookmarkEnd w:id="3"/>
      <w:bookmarkEnd w:id="4"/>
      <w:bookmarkEnd w:id="5"/>
    </w:p>
    <w:p w14:paraId="26455117" w14:textId="3E084B87" w:rsidR="00735F68" w:rsidRDefault="00697A89" w:rsidP="00C45924">
      <w:pPr>
        <w:pStyle w:val="Default"/>
        <w:rPr>
          <w:szCs w:val="22"/>
          <w:lang w:val="en-AU"/>
        </w:rPr>
      </w:pPr>
      <w:r w:rsidRPr="00EB3A06">
        <w:rPr>
          <w:color w:val="auto"/>
          <w:sz w:val="22"/>
          <w:szCs w:val="22"/>
          <w:lang w:val="en-AU"/>
        </w:rPr>
        <w:t>AB Enzymes applied to Food Standards Australia New Zealand (FSANZ) to amend Schedule 18 – Processing Aids of the Australia New Zealand Food Standa</w:t>
      </w:r>
      <w:r>
        <w:rPr>
          <w:color w:val="auto"/>
          <w:sz w:val="22"/>
          <w:szCs w:val="22"/>
          <w:lang w:val="en-AU"/>
        </w:rPr>
        <w:t>rds Code (the Code) to include polygalacturonase (EC 3.2.1.1</w:t>
      </w:r>
      <w:r w:rsidRPr="00EB3A06">
        <w:rPr>
          <w:color w:val="auto"/>
          <w:sz w:val="22"/>
          <w:szCs w:val="22"/>
          <w:lang w:val="en-AU"/>
        </w:rPr>
        <w:t xml:space="preserve">5), a </w:t>
      </w:r>
      <w:r>
        <w:rPr>
          <w:color w:val="auto"/>
          <w:sz w:val="22"/>
          <w:szCs w:val="22"/>
          <w:lang w:val="en-AU"/>
        </w:rPr>
        <w:t>pectinase</w:t>
      </w:r>
      <w:r w:rsidRPr="00EB3A06">
        <w:rPr>
          <w:color w:val="auto"/>
          <w:sz w:val="22"/>
          <w:szCs w:val="22"/>
          <w:lang w:val="en-AU"/>
        </w:rPr>
        <w:t xml:space="preserve">, as a processing aid. </w:t>
      </w:r>
      <w:r>
        <w:rPr>
          <w:color w:val="auto"/>
          <w:sz w:val="22"/>
          <w:szCs w:val="22"/>
          <w:lang w:val="en-AU"/>
        </w:rPr>
        <w:t xml:space="preserve">It is </w:t>
      </w:r>
      <w:r w:rsidRPr="00EB3A06">
        <w:rPr>
          <w:rFonts w:eastAsia="Calibri"/>
          <w:color w:val="auto"/>
          <w:sz w:val="22"/>
          <w:szCs w:val="22"/>
          <w:lang w:eastAsia="en-AU"/>
        </w:rPr>
        <w:t xml:space="preserve">produced from </w:t>
      </w:r>
      <w:r w:rsidRPr="00EB3A06">
        <w:rPr>
          <w:color w:val="auto"/>
          <w:sz w:val="22"/>
          <w:szCs w:val="22"/>
        </w:rPr>
        <w:t>a genetically modified (GM) strain</w:t>
      </w:r>
      <w:r w:rsidRPr="00EB3A06" w:rsidDel="00AB3162">
        <w:rPr>
          <w:rFonts w:eastAsia="Calibri"/>
          <w:color w:val="auto"/>
          <w:sz w:val="22"/>
          <w:szCs w:val="22"/>
          <w:lang w:eastAsia="en-AU"/>
        </w:rPr>
        <w:t xml:space="preserve"> </w:t>
      </w:r>
      <w:r w:rsidRPr="00EB3A06">
        <w:rPr>
          <w:rFonts w:eastAsia="Calibri"/>
          <w:color w:val="auto"/>
          <w:sz w:val="22"/>
          <w:szCs w:val="22"/>
          <w:lang w:eastAsia="en-AU"/>
        </w:rPr>
        <w:t xml:space="preserve">of </w:t>
      </w:r>
      <w:r>
        <w:rPr>
          <w:rFonts w:eastAsia="Calibri"/>
          <w:i/>
          <w:iCs/>
          <w:color w:val="auto"/>
          <w:sz w:val="22"/>
          <w:szCs w:val="22"/>
          <w:lang w:eastAsia="en-AU"/>
        </w:rPr>
        <w:t>Aspergillus oryzae</w:t>
      </w:r>
      <w:r w:rsidRPr="00EB3A06">
        <w:rPr>
          <w:color w:val="auto"/>
          <w:sz w:val="22"/>
          <w:szCs w:val="22"/>
        </w:rPr>
        <w:t xml:space="preserve"> </w:t>
      </w:r>
      <w:r w:rsidR="00507766">
        <w:rPr>
          <w:color w:val="auto"/>
          <w:sz w:val="22"/>
          <w:szCs w:val="22"/>
        </w:rPr>
        <w:t>(</w:t>
      </w:r>
      <w:r w:rsidR="00507766">
        <w:rPr>
          <w:i/>
          <w:color w:val="auto"/>
          <w:sz w:val="22"/>
          <w:szCs w:val="22"/>
        </w:rPr>
        <w:t>A. oryzae</w:t>
      </w:r>
      <w:r w:rsidR="00507766" w:rsidRPr="00ED6A51">
        <w:rPr>
          <w:color w:val="auto"/>
          <w:sz w:val="22"/>
          <w:szCs w:val="22"/>
        </w:rPr>
        <w:t>)</w:t>
      </w:r>
      <w:r w:rsidR="00507766">
        <w:rPr>
          <w:i/>
          <w:color w:val="auto"/>
          <w:sz w:val="22"/>
          <w:szCs w:val="22"/>
        </w:rPr>
        <w:t xml:space="preserve"> </w:t>
      </w:r>
      <w:r w:rsidRPr="00EB3A06">
        <w:rPr>
          <w:color w:val="auto"/>
          <w:sz w:val="22"/>
          <w:szCs w:val="22"/>
        </w:rPr>
        <w:t xml:space="preserve">containing the </w:t>
      </w:r>
      <w:r>
        <w:rPr>
          <w:color w:val="auto"/>
          <w:sz w:val="22"/>
          <w:szCs w:val="22"/>
        </w:rPr>
        <w:t>polygalacturonase</w:t>
      </w:r>
      <w:r w:rsidRPr="00EB3A06">
        <w:rPr>
          <w:color w:val="auto"/>
          <w:sz w:val="22"/>
          <w:szCs w:val="22"/>
        </w:rPr>
        <w:t xml:space="preserve"> gene from </w:t>
      </w:r>
      <w:r w:rsidRPr="00697A89">
        <w:rPr>
          <w:i/>
          <w:sz w:val="22"/>
          <w:szCs w:val="22"/>
        </w:rPr>
        <w:t xml:space="preserve">Aspergillus </w:t>
      </w:r>
      <w:r w:rsidRPr="00694AD4">
        <w:rPr>
          <w:i/>
          <w:sz w:val="22"/>
          <w:szCs w:val="22"/>
        </w:rPr>
        <w:t>tubingensis</w:t>
      </w:r>
      <w:r w:rsidR="00507766">
        <w:rPr>
          <w:i/>
          <w:sz w:val="22"/>
          <w:szCs w:val="22"/>
        </w:rPr>
        <w:t xml:space="preserve"> </w:t>
      </w:r>
      <w:r w:rsidR="00507766">
        <w:rPr>
          <w:sz w:val="22"/>
          <w:szCs w:val="22"/>
        </w:rPr>
        <w:t>(</w:t>
      </w:r>
      <w:r w:rsidR="00507766">
        <w:rPr>
          <w:i/>
          <w:sz w:val="22"/>
          <w:szCs w:val="22"/>
        </w:rPr>
        <w:t>A. tubingensis</w:t>
      </w:r>
      <w:r w:rsidR="00507766">
        <w:rPr>
          <w:sz w:val="22"/>
          <w:szCs w:val="22"/>
        </w:rPr>
        <w:t>)</w:t>
      </w:r>
      <w:r w:rsidRPr="00694AD4">
        <w:rPr>
          <w:i/>
          <w:color w:val="auto"/>
          <w:sz w:val="22"/>
          <w:szCs w:val="22"/>
        </w:rPr>
        <w:t xml:space="preserve">. </w:t>
      </w:r>
      <w:r w:rsidRPr="00694AD4">
        <w:rPr>
          <w:color w:val="auto"/>
          <w:sz w:val="22"/>
          <w:szCs w:val="22"/>
        </w:rPr>
        <w:t xml:space="preserve">The specific name for the production organism is </w:t>
      </w:r>
      <w:r w:rsidR="00507766" w:rsidRPr="00694AD4">
        <w:rPr>
          <w:rFonts w:eastAsia="Calibri"/>
          <w:i/>
          <w:iCs/>
          <w:sz w:val="22"/>
          <w:szCs w:val="22"/>
          <w:lang w:eastAsia="en-AU"/>
        </w:rPr>
        <w:t>A</w:t>
      </w:r>
      <w:r w:rsidR="00507766">
        <w:rPr>
          <w:rFonts w:eastAsia="Calibri"/>
          <w:i/>
          <w:iCs/>
          <w:sz w:val="22"/>
          <w:szCs w:val="22"/>
          <w:lang w:eastAsia="en-AU"/>
        </w:rPr>
        <w:t>.</w:t>
      </w:r>
      <w:r w:rsidR="00507766" w:rsidRPr="00694AD4">
        <w:rPr>
          <w:rFonts w:eastAsia="Calibri"/>
          <w:i/>
          <w:iCs/>
          <w:sz w:val="22"/>
          <w:szCs w:val="22"/>
          <w:lang w:eastAsia="en-AU"/>
        </w:rPr>
        <w:t xml:space="preserve"> </w:t>
      </w:r>
      <w:r w:rsidRPr="00694AD4">
        <w:rPr>
          <w:rFonts w:eastAsia="Calibri"/>
          <w:i/>
          <w:iCs/>
          <w:sz w:val="22"/>
          <w:szCs w:val="22"/>
          <w:lang w:eastAsia="en-AU"/>
        </w:rPr>
        <w:t xml:space="preserve">oryzae </w:t>
      </w:r>
      <w:r w:rsidRPr="00694AD4">
        <w:rPr>
          <w:rFonts w:eastAsia="Calibri"/>
          <w:iCs/>
          <w:sz w:val="22"/>
          <w:szCs w:val="22"/>
          <w:lang w:eastAsia="en-AU"/>
        </w:rPr>
        <w:t xml:space="preserve">strain </w:t>
      </w:r>
      <w:r w:rsidRPr="00694AD4">
        <w:rPr>
          <w:sz w:val="22"/>
          <w:szCs w:val="22"/>
        </w:rPr>
        <w:t>AR-183</w:t>
      </w:r>
      <w:r w:rsidRPr="00694AD4">
        <w:rPr>
          <w:color w:val="auto"/>
          <w:sz w:val="22"/>
          <w:szCs w:val="22"/>
        </w:rPr>
        <w:t xml:space="preserve">. </w:t>
      </w:r>
      <w:r w:rsidRPr="00694AD4">
        <w:rPr>
          <w:color w:val="auto"/>
          <w:sz w:val="22"/>
          <w:szCs w:val="22"/>
          <w:lang w:val="en-AU"/>
        </w:rPr>
        <w:t xml:space="preserve">The proposed use of polygalacturonase is as a processing aid </w:t>
      </w:r>
      <w:r w:rsidR="003510E1" w:rsidRPr="00694AD4">
        <w:rPr>
          <w:sz w:val="22"/>
          <w:szCs w:val="22"/>
        </w:rPr>
        <w:t>in the manufacture and/or processing of fruit and vegetable juices/products; and in the production of coffee, flavouring substances and wine</w:t>
      </w:r>
      <w:r w:rsidR="00AD72D4" w:rsidRPr="00694AD4">
        <w:rPr>
          <w:color w:val="auto"/>
          <w:sz w:val="22"/>
          <w:szCs w:val="22"/>
        </w:rPr>
        <w:t>.</w:t>
      </w:r>
    </w:p>
    <w:p w14:paraId="351182BB" w14:textId="77777777" w:rsidR="005D2C5F" w:rsidRPr="00D44D29" w:rsidRDefault="005D2C5F" w:rsidP="00697A89">
      <w:pPr>
        <w:rPr>
          <w:rFonts w:cs="Arial"/>
          <w:szCs w:val="22"/>
          <w:lang w:val="en-AU"/>
        </w:rPr>
      </w:pPr>
    </w:p>
    <w:p w14:paraId="58DCE17D" w14:textId="77777777" w:rsidR="00697A89" w:rsidRPr="00EB3A06" w:rsidRDefault="00697A89" w:rsidP="00697A89">
      <w:pPr>
        <w:rPr>
          <w:rFonts w:cs="Arial"/>
          <w:szCs w:val="22"/>
          <w:lang w:val="en-AU"/>
        </w:rPr>
      </w:pPr>
      <w:r w:rsidRPr="00EB3A06">
        <w:rPr>
          <w:rFonts w:cs="Arial"/>
          <w:szCs w:val="22"/>
          <w:lang w:val="en-AU"/>
        </w:rPr>
        <w:t>FSANZ has undertaken an assessment to determine whether the enzyme achieves its technological purpose in the quantity and form proposed to be used and to evaluate public health and safety concerns that may arise from the use of this enzyme.</w:t>
      </w:r>
    </w:p>
    <w:p w14:paraId="2CC3613D" w14:textId="77777777" w:rsidR="00697A89" w:rsidRPr="00D44D29" w:rsidRDefault="00697A89" w:rsidP="00697A89">
      <w:pPr>
        <w:rPr>
          <w:rFonts w:cs="Arial"/>
          <w:szCs w:val="22"/>
          <w:lang w:val="en-AU"/>
        </w:rPr>
      </w:pPr>
    </w:p>
    <w:p w14:paraId="4461E247" w14:textId="30129DEA" w:rsidR="00364118" w:rsidRPr="00AC3A80" w:rsidRDefault="00697A89" w:rsidP="00364118">
      <w:pPr>
        <w:rPr>
          <w:lang w:val="en-AU" w:bidi="ar-SA"/>
        </w:rPr>
      </w:pPr>
      <w:r w:rsidRPr="00694AD4">
        <w:rPr>
          <w:szCs w:val="22"/>
          <w:lang w:val="en-AU"/>
        </w:rPr>
        <w:t xml:space="preserve">FSANZ concludes that the proposed use of polygalacturonase as an enzyme </w:t>
      </w:r>
      <w:r w:rsidR="00862BDA" w:rsidRPr="00694AD4">
        <w:rPr>
          <w:szCs w:val="22"/>
          <w:lang w:val="en-AU"/>
        </w:rPr>
        <w:t xml:space="preserve">processing aid </w:t>
      </w:r>
      <w:r w:rsidR="003510E1" w:rsidRPr="00694AD4">
        <w:rPr>
          <w:szCs w:val="22"/>
        </w:rPr>
        <w:t>in the manufacture and/or processing of fruit and vegetable juices/products; and in the production of coffee, flavouring substances and wine</w:t>
      </w:r>
      <w:r w:rsidR="00862BDA" w:rsidRPr="00694AD4">
        <w:rPr>
          <w:szCs w:val="22"/>
        </w:rPr>
        <w:t>,</w:t>
      </w:r>
      <w:r w:rsidRPr="00694AD4">
        <w:rPr>
          <w:szCs w:val="22"/>
          <w:lang w:val="en-AU"/>
        </w:rPr>
        <w:t xml:space="preserve"> is consistent with its typical function of </w:t>
      </w:r>
      <w:r w:rsidRPr="00694AD4">
        <w:rPr>
          <w:szCs w:val="22"/>
        </w:rPr>
        <w:t>hydrolysing pectin in those foods</w:t>
      </w:r>
      <w:r w:rsidRPr="00694AD4">
        <w:rPr>
          <w:szCs w:val="22"/>
          <w:lang w:val="en-AU"/>
        </w:rPr>
        <w:t xml:space="preserve">. </w:t>
      </w:r>
      <w:r w:rsidR="00364118" w:rsidRPr="00AC3A80">
        <w:rPr>
          <w:lang w:val="en-AU" w:bidi="ar-SA"/>
        </w:rPr>
        <w:t xml:space="preserve">Analysis of the evidence provides adequate assurance that the use of the enzyme, in the form </w:t>
      </w:r>
      <w:r w:rsidR="00364118">
        <w:rPr>
          <w:lang w:val="en-AU" w:bidi="ar-SA"/>
        </w:rPr>
        <w:t>and requested amount</w:t>
      </w:r>
      <w:r w:rsidR="001D71B0">
        <w:rPr>
          <w:lang w:val="en-AU" w:bidi="ar-SA"/>
        </w:rPr>
        <w:t>,</w:t>
      </w:r>
      <w:r w:rsidR="00364118">
        <w:rPr>
          <w:lang w:val="en-AU" w:bidi="ar-SA"/>
        </w:rPr>
        <w:t xml:space="preserve"> </w:t>
      </w:r>
      <w:r w:rsidR="00364118" w:rsidRPr="00AC3A80">
        <w:rPr>
          <w:lang w:val="en-AU" w:bidi="ar-SA"/>
        </w:rPr>
        <w:t>is technologically justified</w:t>
      </w:r>
      <w:r w:rsidR="00364118">
        <w:rPr>
          <w:lang w:val="en-AU" w:bidi="ar-SA"/>
        </w:rPr>
        <w:t xml:space="preserve"> and has been demonstrated to be effective in achieving its stated purpose.</w:t>
      </w:r>
    </w:p>
    <w:p w14:paraId="73AC1B41" w14:textId="64CDC094" w:rsidR="00697A89" w:rsidRPr="00D44D29" w:rsidRDefault="00697A89" w:rsidP="00364118">
      <w:pPr>
        <w:pStyle w:val="Default"/>
        <w:rPr>
          <w:lang w:val="en-AU"/>
        </w:rPr>
      </w:pPr>
    </w:p>
    <w:p w14:paraId="2C9E7F68" w14:textId="224DB36F" w:rsidR="00697A89" w:rsidRPr="00EB3A06" w:rsidRDefault="00AD72D4" w:rsidP="00697A89">
      <w:pPr>
        <w:rPr>
          <w:lang w:val="en-AU"/>
        </w:rPr>
      </w:pPr>
      <w:r>
        <w:rPr>
          <w:rFonts w:cs="Arial"/>
          <w:szCs w:val="22"/>
          <w:lang w:val="en-AU"/>
        </w:rPr>
        <w:t>P</w:t>
      </w:r>
      <w:r w:rsidR="00697A89">
        <w:rPr>
          <w:rFonts w:cs="Arial"/>
          <w:szCs w:val="22"/>
          <w:lang w:val="en-AU"/>
        </w:rPr>
        <w:t>olygalacturonase</w:t>
      </w:r>
      <w:r w:rsidR="00697A89" w:rsidRPr="00EB3A06">
        <w:rPr>
          <w:lang w:val="en-AU"/>
        </w:rPr>
        <w:t xml:space="preserve"> performs its technological purpose during the production of foods</w:t>
      </w:r>
      <w:r w:rsidR="0079443D">
        <w:rPr>
          <w:lang w:val="en-AU"/>
        </w:rPr>
        <w:t xml:space="preserve"> by breaking down plant cell walls,</w:t>
      </w:r>
      <w:r w:rsidR="00697A89" w:rsidRPr="00EB3A06">
        <w:rPr>
          <w:lang w:val="en-AU"/>
        </w:rPr>
        <w:t xml:space="preserve"> and is not performing a technological purpose in the final food, therefore functioning as a processing aid as defined in the Code. There are relevant identity and purity specificati</w:t>
      </w:r>
      <w:r>
        <w:rPr>
          <w:lang w:val="en-AU"/>
        </w:rPr>
        <w:t>ons for the enzyme in the Code.</w:t>
      </w:r>
    </w:p>
    <w:p w14:paraId="638EBCB7" w14:textId="52B95D1C" w:rsidR="00A96613" w:rsidRDefault="00A96613" w:rsidP="00690206"/>
    <w:p w14:paraId="1DA9E935" w14:textId="22629D26" w:rsidR="00A96613" w:rsidRPr="00606D9E" w:rsidRDefault="00A96613" w:rsidP="00A96613">
      <w:pPr>
        <w:rPr>
          <w:lang w:bidi="ar-SA"/>
        </w:rPr>
      </w:pPr>
      <w:r w:rsidRPr="00606D9E">
        <w:rPr>
          <w:lang w:bidi="ar-SA"/>
        </w:rPr>
        <w:t xml:space="preserve">No public health and safety concerns were identified in the assessment of </w:t>
      </w:r>
      <w:r>
        <w:rPr>
          <w:lang w:bidi="ar-SA"/>
        </w:rPr>
        <w:t>polygalacturonase</w:t>
      </w:r>
      <w:r w:rsidRPr="00606D9E">
        <w:rPr>
          <w:lang w:bidi="ar-SA"/>
        </w:rPr>
        <w:t xml:space="preserve"> from a modified strain of </w:t>
      </w:r>
      <w:r>
        <w:rPr>
          <w:i/>
          <w:lang w:bidi="ar-SA"/>
        </w:rPr>
        <w:t>A. oryzae</w:t>
      </w:r>
      <w:r w:rsidR="00735F68">
        <w:rPr>
          <w:lang w:bidi="ar-SA"/>
        </w:rPr>
        <w:t xml:space="preserve"> under the proposed </w:t>
      </w:r>
      <w:r w:rsidRPr="00606D9E">
        <w:rPr>
          <w:lang w:bidi="ar-SA"/>
        </w:rPr>
        <w:t>conditions</w:t>
      </w:r>
      <w:r w:rsidR="00735F68">
        <w:rPr>
          <w:lang w:bidi="ar-SA"/>
        </w:rPr>
        <w:t xml:space="preserve"> of use</w:t>
      </w:r>
      <w:r w:rsidRPr="00606D9E">
        <w:rPr>
          <w:lang w:bidi="ar-SA"/>
        </w:rPr>
        <w:t>.</w:t>
      </w:r>
    </w:p>
    <w:p w14:paraId="1A6459FE" w14:textId="77777777" w:rsidR="00A96613" w:rsidRPr="00606D9E" w:rsidRDefault="00A96613" w:rsidP="00A96613">
      <w:pPr>
        <w:rPr>
          <w:lang w:bidi="ar-SA"/>
        </w:rPr>
      </w:pPr>
    </w:p>
    <w:p w14:paraId="3168272D" w14:textId="40A7651F" w:rsidR="008A6203" w:rsidRDefault="00A96613" w:rsidP="008A6203">
      <w:pPr>
        <w:rPr>
          <w:lang w:bidi="ar-SA"/>
        </w:rPr>
      </w:pPr>
      <w:r w:rsidRPr="00606D9E">
        <w:rPr>
          <w:lang w:bidi="ar-SA"/>
        </w:rPr>
        <w:t xml:space="preserve">The host </w:t>
      </w:r>
      <w:r w:rsidR="003C03C2">
        <w:rPr>
          <w:lang w:bidi="ar-SA"/>
        </w:rPr>
        <w:t xml:space="preserve">strain </w:t>
      </w:r>
      <w:r w:rsidRPr="00606D9E">
        <w:rPr>
          <w:lang w:bidi="ar-SA"/>
        </w:rPr>
        <w:t>is neither pathogenic nor toxigenic</w:t>
      </w:r>
      <w:r>
        <w:rPr>
          <w:lang w:bidi="ar-SA"/>
        </w:rPr>
        <w:t>. No food safety hazard wa</w:t>
      </w:r>
      <w:r w:rsidRPr="00A96613">
        <w:rPr>
          <w:lang w:bidi="ar-SA"/>
        </w:rPr>
        <w:t>s identified</w:t>
      </w:r>
      <w:r>
        <w:rPr>
          <w:lang w:bidi="ar-SA"/>
        </w:rPr>
        <w:t xml:space="preserve"> in the isolation and </w:t>
      </w:r>
      <w:r w:rsidR="000649C6">
        <w:rPr>
          <w:lang w:bidi="ar-SA"/>
        </w:rPr>
        <w:t xml:space="preserve">use </w:t>
      </w:r>
      <w:r>
        <w:rPr>
          <w:lang w:bidi="ar-SA"/>
        </w:rPr>
        <w:t xml:space="preserve">of the </w:t>
      </w:r>
      <w:r w:rsidR="000A1AA0" w:rsidRPr="00A96613">
        <w:rPr>
          <w:lang w:bidi="ar-SA"/>
        </w:rPr>
        <w:t xml:space="preserve">polygalacturonase </w:t>
      </w:r>
      <w:r w:rsidRPr="00A96613">
        <w:rPr>
          <w:lang w:bidi="ar-SA"/>
        </w:rPr>
        <w:t xml:space="preserve">gene from </w:t>
      </w:r>
      <w:r w:rsidR="00507766" w:rsidRPr="00640284">
        <w:rPr>
          <w:i/>
          <w:lang w:bidi="ar-SA"/>
        </w:rPr>
        <w:t>A</w:t>
      </w:r>
      <w:r w:rsidR="00507766">
        <w:rPr>
          <w:i/>
          <w:lang w:bidi="ar-SA"/>
        </w:rPr>
        <w:t>.</w:t>
      </w:r>
      <w:r w:rsidR="00ED6A51">
        <w:rPr>
          <w:i/>
          <w:lang w:bidi="ar-SA"/>
        </w:rPr>
        <w:t> </w:t>
      </w:r>
      <w:r w:rsidRPr="00640284">
        <w:rPr>
          <w:i/>
          <w:lang w:bidi="ar-SA"/>
        </w:rPr>
        <w:t>tubingensis</w:t>
      </w:r>
      <w:r>
        <w:rPr>
          <w:lang w:bidi="ar-SA"/>
        </w:rPr>
        <w:t>. A</w:t>
      </w:r>
      <w:r w:rsidRPr="00606D9E">
        <w:rPr>
          <w:lang w:bidi="ar-SA"/>
        </w:rPr>
        <w:t>nalysis of the production strain</w:t>
      </w:r>
      <w:r>
        <w:rPr>
          <w:lang w:bidi="ar-SA"/>
        </w:rPr>
        <w:t xml:space="preserve"> </w:t>
      </w:r>
      <w:r w:rsidRPr="0000786E">
        <w:rPr>
          <w:rFonts w:cs="Arial"/>
          <w:szCs w:val="22"/>
        </w:rPr>
        <w:t>(</w:t>
      </w:r>
      <w:r w:rsidR="003C03C2" w:rsidRPr="003C03C2">
        <w:rPr>
          <w:rFonts w:cs="Arial"/>
          <w:i/>
          <w:szCs w:val="22"/>
        </w:rPr>
        <w:t>A. oryzae</w:t>
      </w:r>
      <w:r w:rsidR="003C03C2">
        <w:rPr>
          <w:rFonts w:cs="Arial"/>
          <w:szCs w:val="22"/>
        </w:rPr>
        <w:t xml:space="preserve"> </w:t>
      </w:r>
      <w:r w:rsidRPr="0000786E">
        <w:rPr>
          <w:rFonts w:cs="Arial"/>
          <w:iCs/>
          <w:szCs w:val="22"/>
        </w:rPr>
        <w:t>AR-183</w:t>
      </w:r>
      <w:r>
        <w:rPr>
          <w:rFonts w:cs="Arial"/>
          <w:szCs w:val="22"/>
        </w:rPr>
        <w:t>)</w:t>
      </w:r>
      <w:r w:rsidRPr="00606D9E">
        <w:rPr>
          <w:lang w:bidi="ar-SA"/>
        </w:rPr>
        <w:t xml:space="preserve"> confirmed the presence and stability of the </w:t>
      </w:r>
      <w:r>
        <w:rPr>
          <w:rFonts w:cs="Arial"/>
          <w:szCs w:val="22"/>
        </w:rPr>
        <w:t>introduced</w:t>
      </w:r>
      <w:r w:rsidRPr="00606D9E">
        <w:rPr>
          <w:lang w:bidi="ar-SA"/>
        </w:rPr>
        <w:t xml:space="preserve"> DNA.</w:t>
      </w:r>
    </w:p>
    <w:p w14:paraId="70DF2B9A" w14:textId="77777777" w:rsidR="00414794" w:rsidRDefault="00414794" w:rsidP="008A6203">
      <w:pPr>
        <w:rPr>
          <w:lang w:bidi="ar-SA"/>
        </w:rPr>
      </w:pPr>
    </w:p>
    <w:p w14:paraId="088DC042" w14:textId="6C5394E1" w:rsidR="00A96613" w:rsidRPr="006F469F" w:rsidRDefault="00A96613" w:rsidP="00A96613">
      <w:pPr>
        <w:rPr>
          <w:szCs w:val="22"/>
          <w:lang w:bidi="ar-SA"/>
        </w:rPr>
      </w:pPr>
      <w:r w:rsidRPr="006F469F">
        <w:rPr>
          <w:szCs w:val="22"/>
          <w:lang w:bidi="ar-SA"/>
        </w:rPr>
        <w:t xml:space="preserve">Toxicity testing of the enzyme showed no evidence of genotoxicity </w:t>
      </w:r>
      <w:r w:rsidRPr="006F469F">
        <w:rPr>
          <w:i/>
          <w:szCs w:val="22"/>
          <w:lang w:bidi="ar-SA"/>
        </w:rPr>
        <w:t xml:space="preserve">in vitro. </w:t>
      </w:r>
      <w:r w:rsidRPr="006F469F">
        <w:rPr>
          <w:szCs w:val="22"/>
          <w:lang w:bidi="ar-SA"/>
        </w:rPr>
        <w:t xml:space="preserve">The no observed </w:t>
      </w:r>
      <w:r w:rsidRPr="006F469F">
        <w:rPr>
          <w:szCs w:val="22"/>
          <w:lang w:bidi="ar-SA"/>
        </w:rPr>
        <w:lastRenderedPageBreak/>
        <w:t>adverse effect level (NOAEL) in a 90-day oral gavage study in rats was 1000 mg</w:t>
      </w:r>
      <w:r w:rsidR="00D63E29" w:rsidRPr="006F469F">
        <w:rPr>
          <w:szCs w:val="22"/>
          <w:lang w:bidi="ar-SA"/>
        </w:rPr>
        <w:t xml:space="preserve"> TOS</w:t>
      </w:r>
      <w:r w:rsidR="00ED6A51">
        <w:rPr>
          <w:rStyle w:val="FootnoteReference"/>
          <w:szCs w:val="22"/>
          <w:lang w:bidi="ar-SA"/>
        </w:rPr>
        <w:footnoteReference w:id="2"/>
      </w:r>
      <w:r w:rsidRPr="006F469F">
        <w:rPr>
          <w:szCs w:val="22"/>
          <w:lang w:bidi="ar-SA"/>
        </w:rPr>
        <w:t xml:space="preserve">/kg bw/day, which was the highest dose tested. The theoretical maximum daily intake (TMDI) was calculated by FSANZ to be </w:t>
      </w:r>
      <w:r w:rsidR="0086228A" w:rsidRPr="006F469F">
        <w:rPr>
          <w:szCs w:val="22"/>
          <w:lang w:bidi="ar-SA"/>
        </w:rPr>
        <w:t>0.105</w:t>
      </w:r>
      <w:r w:rsidRPr="006F469F">
        <w:rPr>
          <w:szCs w:val="22"/>
          <w:lang w:bidi="ar-SA"/>
        </w:rPr>
        <w:t xml:space="preserve"> mg</w:t>
      </w:r>
      <w:r w:rsidR="00ED6A51" w:rsidRPr="00ED6A51">
        <w:rPr>
          <w:szCs w:val="22"/>
          <w:lang w:bidi="ar-SA"/>
        </w:rPr>
        <w:t xml:space="preserve"> </w:t>
      </w:r>
      <w:r w:rsidR="00ED6A51" w:rsidRPr="006F469F">
        <w:rPr>
          <w:szCs w:val="22"/>
          <w:lang w:bidi="ar-SA"/>
        </w:rPr>
        <w:t>TOS</w:t>
      </w:r>
      <w:r w:rsidRPr="006F469F">
        <w:rPr>
          <w:szCs w:val="22"/>
          <w:lang w:bidi="ar-SA"/>
        </w:rPr>
        <w:t xml:space="preserve">/kg bw/day. Comparison of the NOAEL and the TMDI gives a margin of exposure (MOE) of approximately </w:t>
      </w:r>
      <w:r w:rsidR="000A1AA0" w:rsidRPr="006F469F">
        <w:rPr>
          <w:szCs w:val="22"/>
          <w:lang w:bidi="ar-SA"/>
        </w:rPr>
        <w:t>95</w:t>
      </w:r>
      <w:r w:rsidR="000A1AA0">
        <w:rPr>
          <w:szCs w:val="22"/>
          <w:lang w:bidi="ar-SA"/>
        </w:rPr>
        <w:t>00</w:t>
      </w:r>
      <w:r w:rsidRPr="006F469F">
        <w:rPr>
          <w:szCs w:val="22"/>
          <w:lang w:bidi="ar-SA"/>
        </w:rPr>
        <w:t>.</w:t>
      </w:r>
    </w:p>
    <w:p w14:paraId="41154C70" w14:textId="77777777" w:rsidR="00A96613" w:rsidRPr="006F469F" w:rsidRDefault="00A96613" w:rsidP="00A96613">
      <w:pPr>
        <w:rPr>
          <w:szCs w:val="22"/>
          <w:lang w:bidi="ar-SA"/>
        </w:rPr>
      </w:pPr>
    </w:p>
    <w:p w14:paraId="692241D2" w14:textId="3FB32AF4" w:rsidR="00A96613" w:rsidRPr="006F469F" w:rsidRDefault="00A96613" w:rsidP="00A96613">
      <w:pPr>
        <w:rPr>
          <w:szCs w:val="22"/>
          <w:lang w:bidi="ar-SA"/>
        </w:rPr>
      </w:pPr>
      <w:r w:rsidRPr="006F469F">
        <w:rPr>
          <w:szCs w:val="22"/>
          <w:lang w:bidi="ar-SA"/>
        </w:rPr>
        <w:t xml:space="preserve">Bioinformatic analysis indicated that the enzyme shows no significant homology with any known toxins or venoms. </w:t>
      </w:r>
      <w:r w:rsidR="00FE677A" w:rsidRPr="006F469F">
        <w:rPr>
          <w:szCs w:val="22"/>
          <w:lang w:bidi="ar-SA"/>
        </w:rPr>
        <w:t>A</w:t>
      </w:r>
      <w:r w:rsidRPr="006F469F">
        <w:rPr>
          <w:szCs w:val="22"/>
          <w:lang w:bidi="ar-SA"/>
        </w:rPr>
        <w:t xml:space="preserve"> degree of homology between the enzyme and several </w:t>
      </w:r>
      <w:r w:rsidR="00FE677A" w:rsidRPr="006F469F">
        <w:rPr>
          <w:szCs w:val="22"/>
          <w:lang w:bidi="ar-SA"/>
        </w:rPr>
        <w:t xml:space="preserve">pollen </w:t>
      </w:r>
      <w:r w:rsidRPr="006F469F">
        <w:rPr>
          <w:szCs w:val="22"/>
          <w:lang w:bidi="ar-SA"/>
        </w:rPr>
        <w:t>allergens was found. Taking into account that none of these allergens</w:t>
      </w:r>
      <w:r w:rsidR="00904414">
        <w:rPr>
          <w:szCs w:val="22"/>
          <w:lang w:bidi="ar-SA"/>
        </w:rPr>
        <w:t xml:space="preserve"> is a</w:t>
      </w:r>
      <w:r w:rsidR="00C00398" w:rsidRPr="006F469F">
        <w:rPr>
          <w:szCs w:val="22"/>
          <w:lang w:bidi="ar-SA"/>
        </w:rPr>
        <w:t xml:space="preserve"> </w:t>
      </w:r>
      <w:r w:rsidRPr="006F469F">
        <w:rPr>
          <w:szCs w:val="22"/>
          <w:lang w:bidi="ar-SA"/>
        </w:rPr>
        <w:t xml:space="preserve">food allergen and </w:t>
      </w:r>
      <w:r w:rsidR="00FE677A" w:rsidRPr="006F469F">
        <w:rPr>
          <w:szCs w:val="22"/>
          <w:lang w:bidi="ar-SA"/>
        </w:rPr>
        <w:t xml:space="preserve">that </w:t>
      </w:r>
      <w:r w:rsidRPr="006F469F">
        <w:rPr>
          <w:szCs w:val="22"/>
          <w:lang w:bidi="ar-SA"/>
        </w:rPr>
        <w:t>only low levels of the enzyme processing aid are expected to be present in final food products, the risk of food allergy from the proposed uses of the enzyme is likely to be low.</w:t>
      </w:r>
    </w:p>
    <w:p w14:paraId="62440D06" w14:textId="77777777" w:rsidR="00A96613" w:rsidRPr="006F469F" w:rsidRDefault="00A96613" w:rsidP="00A96613">
      <w:pPr>
        <w:rPr>
          <w:szCs w:val="22"/>
          <w:lang w:bidi="ar-SA"/>
        </w:rPr>
      </w:pPr>
    </w:p>
    <w:p w14:paraId="67B4830F" w14:textId="79E11590" w:rsidR="00A96613" w:rsidRPr="007F272A" w:rsidRDefault="00A96613" w:rsidP="00A96613">
      <w:pPr>
        <w:rPr>
          <w:szCs w:val="22"/>
          <w:lang w:bidi="ar-SA"/>
        </w:rPr>
      </w:pPr>
      <w:r w:rsidRPr="006F469F">
        <w:rPr>
          <w:szCs w:val="22"/>
          <w:lang w:bidi="ar-SA"/>
        </w:rPr>
        <w:t>Based on the reviewed data</w:t>
      </w:r>
      <w:r w:rsidR="006F469F">
        <w:rPr>
          <w:szCs w:val="22"/>
          <w:lang w:bidi="ar-SA"/>
        </w:rPr>
        <w:t>,</w:t>
      </w:r>
      <w:r w:rsidRPr="006F469F">
        <w:rPr>
          <w:szCs w:val="22"/>
          <w:lang w:bidi="ar-SA"/>
        </w:rPr>
        <w:t xml:space="preserve"> it is concluded that, in the absence of any identifiable hazard, an Acceptable Daily Intake (ADI) ‘not specified’ is appropriate.</w:t>
      </w:r>
    </w:p>
    <w:p w14:paraId="73A00CE2" w14:textId="35FC4CCC" w:rsidR="00A96613" w:rsidRPr="007F272A" w:rsidRDefault="00A96613" w:rsidP="00690206">
      <w:pPr>
        <w:rPr>
          <w:szCs w:val="22"/>
        </w:rPr>
      </w:pPr>
    </w:p>
    <w:p w14:paraId="681E68BA" w14:textId="1C163313" w:rsidR="006045D0" w:rsidRDefault="006045D0" w:rsidP="00690206"/>
    <w:p w14:paraId="1AB2255D" w14:textId="77777777" w:rsidR="006045D0" w:rsidRDefault="006045D0" w:rsidP="00690206">
      <w:pPr>
        <w:sectPr w:rsidR="006045D0"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76ADF39D"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5ADDD2D5" w14:textId="15596147" w:rsidR="00F75AFE" w:rsidRDefault="00326D85">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03671965" w:history="1">
        <w:r w:rsidR="00F75AFE" w:rsidRPr="00196C93">
          <w:rPr>
            <w:rStyle w:val="Hyperlink"/>
            <w:noProof/>
          </w:rPr>
          <w:t>Executive summary</w:t>
        </w:r>
        <w:r w:rsidR="00F75AFE">
          <w:rPr>
            <w:noProof/>
            <w:webHidden/>
          </w:rPr>
          <w:tab/>
        </w:r>
        <w:r w:rsidR="00F75AFE">
          <w:rPr>
            <w:noProof/>
            <w:webHidden/>
          </w:rPr>
          <w:fldChar w:fldCharType="begin"/>
        </w:r>
        <w:r w:rsidR="00F75AFE">
          <w:rPr>
            <w:noProof/>
            <w:webHidden/>
          </w:rPr>
          <w:instrText xml:space="preserve"> PAGEREF _Toc103671965 \h </w:instrText>
        </w:r>
        <w:r w:rsidR="00F75AFE">
          <w:rPr>
            <w:noProof/>
            <w:webHidden/>
          </w:rPr>
        </w:r>
        <w:r w:rsidR="00F75AFE">
          <w:rPr>
            <w:noProof/>
            <w:webHidden/>
          </w:rPr>
          <w:fldChar w:fldCharType="separate"/>
        </w:r>
        <w:r w:rsidR="004D5746">
          <w:rPr>
            <w:noProof/>
            <w:webHidden/>
          </w:rPr>
          <w:t>i</w:t>
        </w:r>
        <w:r w:rsidR="00F75AFE">
          <w:rPr>
            <w:noProof/>
            <w:webHidden/>
          </w:rPr>
          <w:fldChar w:fldCharType="end"/>
        </w:r>
      </w:hyperlink>
    </w:p>
    <w:p w14:paraId="0AEE2600" w14:textId="6C7DAF84" w:rsidR="00F75AFE" w:rsidRDefault="008D7425">
      <w:pPr>
        <w:pStyle w:val="TOC1"/>
        <w:tabs>
          <w:tab w:val="left" w:pos="440"/>
        </w:tabs>
        <w:rPr>
          <w:rFonts w:eastAsiaTheme="minorEastAsia" w:cstheme="minorBidi"/>
          <w:b w:val="0"/>
          <w:bCs w:val="0"/>
          <w:caps w:val="0"/>
          <w:noProof/>
          <w:sz w:val="22"/>
          <w:szCs w:val="22"/>
          <w:lang w:eastAsia="en-GB" w:bidi="ar-SA"/>
        </w:rPr>
      </w:pPr>
      <w:hyperlink w:anchor="_Toc103671966" w:history="1">
        <w:r w:rsidR="00F75AFE" w:rsidRPr="00196C93">
          <w:rPr>
            <w:rStyle w:val="Hyperlink"/>
            <w:noProof/>
          </w:rPr>
          <w:t>1.</w:t>
        </w:r>
        <w:r w:rsidR="00F75AFE">
          <w:rPr>
            <w:rFonts w:eastAsiaTheme="minorEastAsia" w:cstheme="minorBidi"/>
            <w:b w:val="0"/>
            <w:bCs w:val="0"/>
            <w:caps w:val="0"/>
            <w:noProof/>
            <w:sz w:val="22"/>
            <w:szCs w:val="22"/>
            <w:lang w:eastAsia="en-GB" w:bidi="ar-SA"/>
          </w:rPr>
          <w:tab/>
        </w:r>
        <w:r w:rsidR="00F75AFE" w:rsidRPr="00196C93">
          <w:rPr>
            <w:rStyle w:val="Hyperlink"/>
            <w:noProof/>
          </w:rPr>
          <w:t>Introduction</w:t>
        </w:r>
        <w:r w:rsidR="00F75AFE">
          <w:rPr>
            <w:noProof/>
            <w:webHidden/>
          </w:rPr>
          <w:tab/>
        </w:r>
        <w:r w:rsidR="00F75AFE">
          <w:rPr>
            <w:noProof/>
            <w:webHidden/>
          </w:rPr>
          <w:fldChar w:fldCharType="begin"/>
        </w:r>
        <w:r w:rsidR="00F75AFE">
          <w:rPr>
            <w:noProof/>
            <w:webHidden/>
          </w:rPr>
          <w:instrText xml:space="preserve"> PAGEREF _Toc103671966 \h </w:instrText>
        </w:r>
        <w:r w:rsidR="00F75AFE">
          <w:rPr>
            <w:noProof/>
            <w:webHidden/>
          </w:rPr>
        </w:r>
        <w:r w:rsidR="00F75AFE">
          <w:rPr>
            <w:noProof/>
            <w:webHidden/>
          </w:rPr>
          <w:fldChar w:fldCharType="separate"/>
        </w:r>
        <w:r w:rsidR="004D5746">
          <w:rPr>
            <w:noProof/>
            <w:webHidden/>
          </w:rPr>
          <w:t>2</w:t>
        </w:r>
        <w:r w:rsidR="00F75AFE">
          <w:rPr>
            <w:noProof/>
            <w:webHidden/>
          </w:rPr>
          <w:fldChar w:fldCharType="end"/>
        </w:r>
      </w:hyperlink>
    </w:p>
    <w:p w14:paraId="6D3481B3" w14:textId="5B7BF713"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67" w:history="1">
        <w:r w:rsidR="00F75AFE" w:rsidRPr="00196C93">
          <w:rPr>
            <w:rStyle w:val="Hyperlink"/>
            <w:noProof/>
          </w:rPr>
          <w:t>1.1</w:t>
        </w:r>
        <w:r w:rsidR="00F75AFE">
          <w:rPr>
            <w:rFonts w:eastAsiaTheme="minorEastAsia" w:cstheme="minorBidi"/>
            <w:smallCaps w:val="0"/>
            <w:noProof/>
            <w:sz w:val="22"/>
            <w:szCs w:val="22"/>
            <w:lang w:eastAsia="en-GB" w:bidi="ar-SA"/>
          </w:rPr>
          <w:tab/>
        </w:r>
        <w:r w:rsidR="00F75AFE" w:rsidRPr="00196C93">
          <w:rPr>
            <w:rStyle w:val="Hyperlink"/>
            <w:noProof/>
          </w:rPr>
          <w:t>Objectives of the assessment</w:t>
        </w:r>
        <w:r w:rsidR="00F75AFE">
          <w:rPr>
            <w:noProof/>
            <w:webHidden/>
          </w:rPr>
          <w:tab/>
        </w:r>
        <w:r w:rsidR="00F75AFE">
          <w:rPr>
            <w:noProof/>
            <w:webHidden/>
          </w:rPr>
          <w:fldChar w:fldCharType="begin"/>
        </w:r>
        <w:r w:rsidR="00F75AFE">
          <w:rPr>
            <w:noProof/>
            <w:webHidden/>
          </w:rPr>
          <w:instrText xml:space="preserve"> PAGEREF _Toc103671967 \h </w:instrText>
        </w:r>
        <w:r w:rsidR="00F75AFE">
          <w:rPr>
            <w:noProof/>
            <w:webHidden/>
          </w:rPr>
        </w:r>
        <w:r w:rsidR="00F75AFE">
          <w:rPr>
            <w:noProof/>
            <w:webHidden/>
          </w:rPr>
          <w:fldChar w:fldCharType="separate"/>
        </w:r>
        <w:r w:rsidR="004D5746">
          <w:rPr>
            <w:noProof/>
            <w:webHidden/>
          </w:rPr>
          <w:t>2</w:t>
        </w:r>
        <w:r w:rsidR="00F75AFE">
          <w:rPr>
            <w:noProof/>
            <w:webHidden/>
          </w:rPr>
          <w:fldChar w:fldCharType="end"/>
        </w:r>
      </w:hyperlink>
    </w:p>
    <w:p w14:paraId="1260969B" w14:textId="669A07F6" w:rsidR="00F75AFE" w:rsidRDefault="008D7425">
      <w:pPr>
        <w:pStyle w:val="TOC1"/>
        <w:tabs>
          <w:tab w:val="left" w:pos="440"/>
        </w:tabs>
        <w:rPr>
          <w:rFonts w:eastAsiaTheme="minorEastAsia" w:cstheme="minorBidi"/>
          <w:b w:val="0"/>
          <w:bCs w:val="0"/>
          <w:caps w:val="0"/>
          <w:noProof/>
          <w:sz w:val="22"/>
          <w:szCs w:val="22"/>
          <w:lang w:eastAsia="en-GB" w:bidi="ar-SA"/>
        </w:rPr>
      </w:pPr>
      <w:hyperlink w:anchor="_Toc103671968" w:history="1">
        <w:r w:rsidR="00F75AFE" w:rsidRPr="00196C93">
          <w:rPr>
            <w:rStyle w:val="Hyperlink"/>
            <w:noProof/>
          </w:rPr>
          <w:t>2</w:t>
        </w:r>
        <w:r w:rsidR="00F75AFE">
          <w:rPr>
            <w:rFonts w:eastAsiaTheme="minorEastAsia" w:cstheme="minorBidi"/>
            <w:b w:val="0"/>
            <w:bCs w:val="0"/>
            <w:caps w:val="0"/>
            <w:noProof/>
            <w:sz w:val="22"/>
            <w:szCs w:val="22"/>
            <w:lang w:eastAsia="en-GB" w:bidi="ar-SA"/>
          </w:rPr>
          <w:tab/>
        </w:r>
        <w:r w:rsidR="00F75AFE" w:rsidRPr="00196C93">
          <w:rPr>
            <w:rStyle w:val="Hyperlink"/>
            <w:noProof/>
          </w:rPr>
          <w:t>Food technology assessment</w:t>
        </w:r>
        <w:r w:rsidR="00F75AFE">
          <w:rPr>
            <w:noProof/>
            <w:webHidden/>
          </w:rPr>
          <w:tab/>
        </w:r>
        <w:r w:rsidR="00F75AFE">
          <w:rPr>
            <w:noProof/>
            <w:webHidden/>
          </w:rPr>
          <w:fldChar w:fldCharType="begin"/>
        </w:r>
        <w:r w:rsidR="00F75AFE">
          <w:rPr>
            <w:noProof/>
            <w:webHidden/>
          </w:rPr>
          <w:instrText xml:space="preserve"> PAGEREF _Toc103671968 \h </w:instrText>
        </w:r>
        <w:r w:rsidR="00F75AFE">
          <w:rPr>
            <w:noProof/>
            <w:webHidden/>
          </w:rPr>
        </w:r>
        <w:r w:rsidR="00F75AFE">
          <w:rPr>
            <w:noProof/>
            <w:webHidden/>
          </w:rPr>
          <w:fldChar w:fldCharType="separate"/>
        </w:r>
        <w:r w:rsidR="004D5746">
          <w:rPr>
            <w:noProof/>
            <w:webHidden/>
          </w:rPr>
          <w:t>2</w:t>
        </w:r>
        <w:r w:rsidR="00F75AFE">
          <w:rPr>
            <w:noProof/>
            <w:webHidden/>
          </w:rPr>
          <w:fldChar w:fldCharType="end"/>
        </w:r>
      </w:hyperlink>
    </w:p>
    <w:p w14:paraId="1E7E856A" w14:textId="5F79799E"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69" w:history="1">
        <w:r w:rsidR="00F75AFE" w:rsidRPr="00196C93">
          <w:rPr>
            <w:rStyle w:val="Hyperlink"/>
            <w:noProof/>
          </w:rPr>
          <w:t>2.1</w:t>
        </w:r>
        <w:r w:rsidR="00F75AFE">
          <w:rPr>
            <w:rFonts w:eastAsiaTheme="minorEastAsia" w:cstheme="minorBidi"/>
            <w:smallCaps w:val="0"/>
            <w:noProof/>
            <w:sz w:val="22"/>
            <w:szCs w:val="22"/>
            <w:lang w:eastAsia="en-GB" w:bidi="ar-SA"/>
          </w:rPr>
          <w:tab/>
        </w:r>
        <w:r w:rsidR="00F75AFE" w:rsidRPr="00196C93">
          <w:rPr>
            <w:rStyle w:val="Hyperlink"/>
            <w:noProof/>
          </w:rPr>
          <w:t>Characterisation of the enzyme</w:t>
        </w:r>
        <w:r w:rsidR="00F75AFE">
          <w:rPr>
            <w:noProof/>
            <w:webHidden/>
          </w:rPr>
          <w:tab/>
        </w:r>
        <w:r w:rsidR="00F75AFE">
          <w:rPr>
            <w:noProof/>
            <w:webHidden/>
          </w:rPr>
          <w:fldChar w:fldCharType="begin"/>
        </w:r>
        <w:r w:rsidR="00F75AFE">
          <w:rPr>
            <w:noProof/>
            <w:webHidden/>
          </w:rPr>
          <w:instrText xml:space="preserve"> PAGEREF _Toc103671969 \h </w:instrText>
        </w:r>
        <w:r w:rsidR="00F75AFE">
          <w:rPr>
            <w:noProof/>
            <w:webHidden/>
          </w:rPr>
        </w:r>
        <w:r w:rsidR="00F75AFE">
          <w:rPr>
            <w:noProof/>
            <w:webHidden/>
          </w:rPr>
          <w:fldChar w:fldCharType="separate"/>
        </w:r>
        <w:r w:rsidR="004D5746">
          <w:rPr>
            <w:noProof/>
            <w:webHidden/>
          </w:rPr>
          <w:t>2</w:t>
        </w:r>
        <w:r w:rsidR="00F75AFE">
          <w:rPr>
            <w:noProof/>
            <w:webHidden/>
          </w:rPr>
          <w:fldChar w:fldCharType="end"/>
        </w:r>
      </w:hyperlink>
    </w:p>
    <w:p w14:paraId="76D0E375" w14:textId="52E875FD"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70" w:history="1">
        <w:r w:rsidR="00F75AFE" w:rsidRPr="00196C93">
          <w:rPr>
            <w:rStyle w:val="Hyperlink"/>
            <w:noProof/>
          </w:rPr>
          <w:t>2.1.1</w:t>
        </w:r>
        <w:r w:rsidR="00F75AFE">
          <w:rPr>
            <w:rFonts w:eastAsiaTheme="minorEastAsia" w:cstheme="minorBidi"/>
            <w:i w:val="0"/>
            <w:iCs w:val="0"/>
            <w:noProof/>
            <w:sz w:val="22"/>
            <w:szCs w:val="22"/>
            <w:lang w:eastAsia="en-GB" w:bidi="ar-SA"/>
          </w:rPr>
          <w:tab/>
        </w:r>
        <w:r w:rsidR="00F75AFE" w:rsidRPr="00196C93">
          <w:rPr>
            <w:rStyle w:val="Hyperlink"/>
            <w:noProof/>
          </w:rPr>
          <w:t>Identity of the enzyme</w:t>
        </w:r>
        <w:r w:rsidR="00F75AFE">
          <w:rPr>
            <w:noProof/>
            <w:webHidden/>
          </w:rPr>
          <w:tab/>
        </w:r>
        <w:r w:rsidR="00F75AFE">
          <w:rPr>
            <w:noProof/>
            <w:webHidden/>
          </w:rPr>
          <w:fldChar w:fldCharType="begin"/>
        </w:r>
        <w:r w:rsidR="00F75AFE">
          <w:rPr>
            <w:noProof/>
            <w:webHidden/>
          </w:rPr>
          <w:instrText xml:space="preserve"> PAGEREF _Toc103671970 \h </w:instrText>
        </w:r>
        <w:r w:rsidR="00F75AFE">
          <w:rPr>
            <w:noProof/>
            <w:webHidden/>
          </w:rPr>
        </w:r>
        <w:r w:rsidR="00F75AFE">
          <w:rPr>
            <w:noProof/>
            <w:webHidden/>
          </w:rPr>
          <w:fldChar w:fldCharType="separate"/>
        </w:r>
        <w:r w:rsidR="004D5746">
          <w:rPr>
            <w:noProof/>
            <w:webHidden/>
          </w:rPr>
          <w:t>2</w:t>
        </w:r>
        <w:r w:rsidR="00F75AFE">
          <w:rPr>
            <w:noProof/>
            <w:webHidden/>
          </w:rPr>
          <w:fldChar w:fldCharType="end"/>
        </w:r>
      </w:hyperlink>
    </w:p>
    <w:p w14:paraId="46B3094C" w14:textId="0ABB8588"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71" w:history="1">
        <w:r w:rsidR="00F75AFE" w:rsidRPr="00196C93">
          <w:rPr>
            <w:rStyle w:val="Hyperlink"/>
            <w:noProof/>
          </w:rPr>
          <w:t>2.2</w:t>
        </w:r>
        <w:r w:rsidR="00F75AFE">
          <w:rPr>
            <w:rFonts w:eastAsiaTheme="minorEastAsia" w:cstheme="minorBidi"/>
            <w:smallCaps w:val="0"/>
            <w:noProof/>
            <w:sz w:val="22"/>
            <w:szCs w:val="22"/>
            <w:lang w:eastAsia="en-GB" w:bidi="ar-SA"/>
          </w:rPr>
          <w:tab/>
        </w:r>
        <w:r w:rsidR="00F75AFE" w:rsidRPr="00196C93">
          <w:rPr>
            <w:rStyle w:val="Hyperlink"/>
            <w:noProof/>
          </w:rPr>
          <w:t>Manufacturing process</w:t>
        </w:r>
        <w:r w:rsidR="00F75AFE">
          <w:rPr>
            <w:noProof/>
            <w:webHidden/>
          </w:rPr>
          <w:tab/>
        </w:r>
        <w:r w:rsidR="00F75AFE">
          <w:rPr>
            <w:noProof/>
            <w:webHidden/>
          </w:rPr>
          <w:fldChar w:fldCharType="begin"/>
        </w:r>
        <w:r w:rsidR="00F75AFE">
          <w:rPr>
            <w:noProof/>
            <w:webHidden/>
          </w:rPr>
          <w:instrText xml:space="preserve"> PAGEREF _Toc103671971 \h </w:instrText>
        </w:r>
        <w:r w:rsidR="00F75AFE">
          <w:rPr>
            <w:noProof/>
            <w:webHidden/>
          </w:rPr>
        </w:r>
        <w:r w:rsidR="00F75AFE">
          <w:rPr>
            <w:noProof/>
            <w:webHidden/>
          </w:rPr>
          <w:fldChar w:fldCharType="separate"/>
        </w:r>
        <w:r w:rsidR="004D5746">
          <w:rPr>
            <w:noProof/>
            <w:webHidden/>
          </w:rPr>
          <w:t>3</w:t>
        </w:r>
        <w:r w:rsidR="00F75AFE">
          <w:rPr>
            <w:noProof/>
            <w:webHidden/>
          </w:rPr>
          <w:fldChar w:fldCharType="end"/>
        </w:r>
      </w:hyperlink>
    </w:p>
    <w:p w14:paraId="5D7883F2" w14:textId="7B8B5EC2"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72" w:history="1">
        <w:r w:rsidR="00F75AFE" w:rsidRPr="00196C93">
          <w:rPr>
            <w:rStyle w:val="Hyperlink"/>
            <w:noProof/>
          </w:rPr>
          <w:t>2.2.1</w:t>
        </w:r>
        <w:r w:rsidR="00F75AFE">
          <w:rPr>
            <w:rFonts w:eastAsiaTheme="minorEastAsia" w:cstheme="minorBidi"/>
            <w:i w:val="0"/>
            <w:iCs w:val="0"/>
            <w:noProof/>
            <w:sz w:val="22"/>
            <w:szCs w:val="22"/>
            <w:lang w:eastAsia="en-GB" w:bidi="ar-SA"/>
          </w:rPr>
          <w:tab/>
        </w:r>
        <w:r w:rsidR="00F75AFE" w:rsidRPr="00196C93">
          <w:rPr>
            <w:rStyle w:val="Hyperlink"/>
            <w:noProof/>
          </w:rPr>
          <w:t>Production of the enzyme</w:t>
        </w:r>
        <w:r w:rsidR="00F75AFE">
          <w:rPr>
            <w:noProof/>
            <w:webHidden/>
          </w:rPr>
          <w:tab/>
        </w:r>
        <w:r w:rsidR="00F75AFE">
          <w:rPr>
            <w:noProof/>
            <w:webHidden/>
          </w:rPr>
          <w:fldChar w:fldCharType="begin"/>
        </w:r>
        <w:r w:rsidR="00F75AFE">
          <w:rPr>
            <w:noProof/>
            <w:webHidden/>
          </w:rPr>
          <w:instrText xml:space="preserve"> PAGEREF _Toc103671972 \h </w:instrText>
        </w:r>
        <w:r w:rsidR="00F75AFE">
          <w:rPr>
            <w:noProof/>
            <w:webHidden/>
          </w:rPr>
        </w:r>
        <w:r w:rsidR="00F75AFE">
          <w:rPr>
            <w:noProof/>
            <w:webHidden/>
          </w:rPr>
          <w:fldChar w:fldCharType="separate"/>
        </w:r>
        <w:r w:rsidR="004D5746">
          <w:rPr>
            <w:noProof/>
            <w:webHidden/>
          </w:rPr>
          <w:t>3</w:t>
        </w:r>
        <w:r w:rsidR="00F75AFE">
          <w:rPr>
            <w:noProof/>
            <w:webHidden/>
          </w:rPr>
          <w:fldChar w:fldCharType="end"/>
        </w:r>
      </w:hyperlink>
    </w:p>
    <w:p w14:paraId="736AC4DC" w14:textId="3D6A2E58"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73" w:history="1">
        <w:r w:rsidR="00F75AFE" w:rsidRPr="00196C93">
          <w:rPr>
            <w:rStyle w:val="Hyperlink"/>
            <w:noProof/>
          </w:rPr>
          <w:t>2.2.2</w:t>
        </w:r>
        <w:r w:rsidR="00F75AFE">
          <w:rPr>
            <w:rFonts w:eastAsiaTheme="minorEastAsia" w:cstheme="minorBidi"/>
            <w:i w:val="0"/>
            <w:iCs w:val="0"/>
            <w:noProof/>
            <w:sz w:val="22"/>
            <w:szCs w:val="22"/>
            <w:lang w:eastAsia="en-GB" w:bidi="ar-SA"/>
          </w:rPr>
          <w:tab/>
        </w:r>
        <w:r w:rsidR="00F75AFE" w:rsidRPr="00196C93">
          <w:rPr>
            <w:rStyle w:val="Hyperlink"/>
            <w:noProof/>
          </w:rPr>
          <w:t>Specifications</w:t>
        </w:r>
        <w:r w:rsidR="00F75AFE">
          <w:rPr>
            <w:noProof/>
            <w:webHidden/>
          </w:rPr>
          <w:tab/>
        </w:r>
        <w:r w:rsidR="00F75AFE">
          <w:rPr>
            <w:noProof/>
            <w:webHidden/>
          </w:rPr>
          <w:fldChar w:fldCharType="begin"/>
        </w:r>
        <w:r w:rsidR="00F75AFE">
          <w:rPr>
            <w:noProof/>
            <w:webHidden/>
          </w:rPr>
          <w:instrText xml:space="preserve"> PAGEREF _Toc103671973 \h </w:instrText>
        </w:r>
        <w:r w:rsidR="00F75AFE">
          <w:rPr>
            <w:noProof/>
            <w:webHidden/>
          </w:rPr>
        </w:r>
        <w:r w:rsidR="00F75AFE">
          <w:rPr>
            <w:noProof/>
            <w:webHidden/>
          </w:rPr>
          <w:fldChar w:fldCharType="separate"/>
        </w:r>
        <w:r w:rsidR="004D5746">
          <w:rPr>
            <w:noProof/>
            <w:webHidden/>
          </w:rPr>
          <w:t>4</w:t>
        </w:r>
        <w:r w:rsidR="00F75AFE">
          <w:rPr>
            <w:noProof/>
            <w:webHidden/>
          </w:rPr>
          <w:fldChar w:fldCharType="end"/>
        </w:r>
      </w:hyperlink>
    </w:p>
    <w:p w14:paraId="620F25FA" w14:textId="3C5CFBA0"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74" w:history="1">
        <w:r w:rsidR="00F75AFE" w:rsidRPr="00196C93">
          <w:rPr>
            <w:rStyle w:val="Hyperlink"/>
            <w:noProof/>
          </w:rPr>
          <w:t>2.3</w:t>
        </w:r>
        <w:r w:rsidR="00F75AFE">
          <w:rPr>
            <w:rFonts w:eastAsiaTheme="minorEastAsia" w:cstheme="minorBidi"/>
            <w:smallCaps w:val="0"/>
            <w:noProof/>
            <w:sz w:val="22"/>
            <w:szCs w:val="22"/>
            <w:lang w:eastAsia="en-GB" w:bidi="ar-SA"/>
          </w:rPr>
          <w:tab/>
        </w:r>
        <w:r w:rsidR="00F75AFE" w:rsidRPr="00196C93">
          <w:rPr>
            <w:rStyle w:val="Hyperlink"/>
            <w:noProof/>
          </w:rPr>
          <w:t>Technological purpose of the enzyme</w:t>
        </w:r>
        <w:r w:rsidR="00F75AFE">
          <w:rPr>
            <w:noProof/>
            <w:webHidden/>
          </w:rPr>
          <w:tab/>
        </w:r>
        <w:r w:rsidR="00F75AFE">
          <w:rPr>
            <w:noProof/>
            <w:webHidden/>
          </w:rPr>
          <w:fldChar w:fldCharType="begin"/>
        </w:r>
        <w:r w:rsidR="00F75AFE">
          <w:rPr>
            <w:noProof/>
            <w:webHidden/>
          </w:rPr>
          <w:instrText xml:space="preserve"> PAGEREF _Toc103671974 \h </w:instrText>
        </w:r>
        <w:r w:rsidR="00F75AFE">
          <w:rPr>
            <w:noProof/>
            <w:webHidden/>
          </w:rPr>
        </w:r>
        <w:r w:rsidR="00F75AFE">
          <w:rPr>
            <w:noProof/>
            <w:webHidden/>
          </w:rPr>
          <w:fldChar w:fldCharType="separate"/>
        </w:r>
        <w:r w:rsidR="004D5746">
          <w:rPr>
            <w:noProof/>
            <w:webHidden/>
          </w:rPr>
          <w:t>4</w:t>
        </w:r>
        <w:r w:rsidR="00F75AFE">
          <w:rPr>
            <w:noProof/>
            <w:webHidden/>
          </w:rPr>
          <w:fldChar w:fldCharType="end"/>
        </w:r>
      </w:hyperlink>
    </w:p>
    <w:p w14:paraId="7A30E3F9" w14:textId="3E59EDB9"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75" w:history="1">
        <w:r w:rsidR="00F75AFE" w:rsidRPr="00196C93">
          <w:rPr>
            <w:rStyle w:val="Hyperlink"/>
            <w:noProof/>
          </w:rPr>
          <w:t>2.4</w:t>
        </w:r>
        <w:r w:rsidR="00F75AFE">
          <w:rPr>
            <w:rFonts w:eastAsiaTheme="minorEastAsia" w:cstheme="minorBidi"/>
            <w:smallCaps w:val="0"/>
            <w:noProof/>
            <w:sz w:val="22"/>
            <w:szCs w:val="22"/>
            <w:lang w:eastAsia="en-GB" w:bidi="ar-SA"/>
          </w:rPr>
          <w:tab/>
        </w:r>
        <w:r w:rsidR="00F75AFE" w:rsidRPr="00196C93">
          <w:rPr>
            <w:rStyle w:val="Hyperlink"/>
            <w:noProof/>
          </w:rPr>
          <w:t>Technological justification</w:t>
        </w:r>
        <w:r w:rsidR="00F75AFE">
          <w:rPr>
            <w:noProof/>
            <w:webHidden/>
          </w:rPr>
          <w:tab/>
        </w:r>
        <w:r w:rsidR="00F75AFE">
          <w:rPr>
            <w:noProof/>
            <w:webHidden/>
          </w:rPr>
          <w:fldChar w:fldCharType="begin"/>
        </w:r>
        <w:r w:rsidR="00F75AFE">
          <w:rPr>
            <w:noProof/>
            <w:webHidden/>
          </w:rPr>
          <w:instrText xml:space="preserve"> PAGEREF _Toc103671975 \h </w:instrText>
        </w:r>
        <w:r w:rsidR="00F75AFE">
          <w:rPr>
            <w:noProof/>
            <w:webHidden/>
          </w:rPr>
        </w:r>
        <w:r w:rsidR="00F75AFE">
          <w:rPr>
            <w:noProof/>
            <w:webHidden/>
          </w:rPr>
          <w:fldChar w:fldCharType="separate"/>
        </w:r>
        <w:r w:rsidR="004D5746">
          <w:rPr>
            <w:noProof/>
            <w:webHidden/>
          </w:rPr>
          <w:t>5</w:t>
        </w:r>
        <w:r w:rsidR="00F75AFE">
          <w:rPr>
            <w:noProof/>
            <w:webHidden/>
          </w:rPr>
          <w:fldChar w:fldCharType="end"/>
        </w:r>
      </w:hyperlink>
    </w:p>
    <w:p w14:paraId="40A6C6D6" w14:textId="27D95510"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76" w:history="1">
        <w:r w:rsidR="00F75AFE" w:rsidRPr="00196C93">
          <w:rPr>
            <w:rStyle w:val="Hyperlink"/>
            <w:noProof/>
          </w:rPr>
          <w:t>2.5</w:t>
        </w:r>
        <w:r w:rsidR="00F75AFE">
          <w:rPr>
            <w:rFonts w:eastAsiaTheme="minorEastAsia" w:cstheme="minorBidi"/>
            <w:smallCaps w:val="0"/>
            <w:noProof/>
            <w:sz w:val="22"/>
            <w:szCs w:val="22"/>
            <w:lang w:eastAsia="en-GB" w:bidi="ar-SA"/>
          </w:rPr>
          <w:tab/>
        </w:r>
        <w:r w:rsidR="00F75AFE" w:rsidRPr="00196C93">
          <w:rPr>
            <w:rStyle w:val="Hyperlink"/>
            <w:noProof/>
          </w:rPr>
          <w:t>Food technology conclusion</w:t>
        </w:r>
        <w:r w:rsidR="00F75AFE">
          <w:rPr>
            <w:noProof/>
            <w:webHidden/>
          </w:rPr>
          <w:tab/>
        </w:r>
        <w:r w:rsidR="00F75AFE">
          <w:rPr>
            <w:noProof/>
            <w:webHidden/>
          </w:rPr>
          <w:fldChar w:fldCharType="begin"/>
        </w:r>
        <w:r w:rsidR="00F75AFE">
          <w:rPr>
            <w:noProof/>
            <w:webHidden/>
          </w:rPr>
          <w:instrText xml:space="preserve"> PAGEREF _Toc103671976 \h </w:instrText>
        </w:r>
        <w:r w:rsidR="00F75AFE">
          <w:rPr>
            <w:noProof/>
            <w:webHidden/>
          </w:rPr>
        </w:r>
        <w:r w:rsidR="00F75AFE">
          <w:rPr>
            <w:noProof/>
            <w:webHidden/>
          </w:rPr>
          <w:fldChar w:fldCharType="separate"/>
        </w:r>
        <w:r w:rsidR="004D5746">
          <w:rPr>
            <w:noProof/>
            <w:webHidden/>
          </w:rPr>
          <w:t>6</w:t>
        </w:r>
        <w:r w:rsidR="00F75AFE">
          <w:rPr>
            <w:noProof/>
            <w:webHidden/>
          </w:rPr>
          <w:fldChar w:fldCharType="end"/>
        </w:r>
      </w:hyperlink>
    </w:p>
    <w:p w14:paraId="5926D17D" w14:textId="58357D75" w:rsidR="00F75AFE" w:rsidRDefault="008D7425">
      <w:pPr>
        <w:pStyle w:val="TOC1"/>
        <w:tabs>
          <w:tab w:val="left" w:pos="440"/>
        </w:tabs>
        <w:rPr>
          <w:rFonts w:eastAsiaTheme="minorEastAsia" w:cstheme="minorBidi"/>
          <w:b w:val="0"/>
          <w:bCs w:val="0"/>
          <w:caps w:val="0"/>
          <w:noProof/>
          <w:sz w:val="22"/>
          <w:szCs w:val="22"/>
          <w:lang w:eastAsia="en-GB" w:bidi="ar-SA"/>
        </w:rPr>
      </w:pPr>
      <w:hyperlink w:anchor="_Toc103671977" w:history="1">
        <w:r w:rsidR="00F75AFE" w:rsidRPr="00196C93">
          <w:rPr>
            <w:rStyle w:val="Hyperlink"/>
            <w:noProof/>
          </w:rPr>
          <w:t>3</w:t>
        </w:r>
        <w:r w:rsidR="00F75AFE">
          <w:rPr>
            <w:rFonts w:eastAsiaTheme="minorEastAsia" w:cstheme="minorBidi"/>
            <w:b w:val="0"/>
            <w:bCs w:val="0"/>
            <w:caps w:val="0"/>
            <w:noProof/>
            <w:sz w:val="22"/>
            <w:szCs w:val="22"/>
            <w:lang w:eastAsia="en-GB" w:bidi="ar-SA"/>
          </w:rPr>
          <w:tab/>
        </w:r>
        <w:r w:rsidR="00F75AFE" w:rsidRPr="00196C93">
          <w:rPr>
            <w:rStyle w:val="Hyperlink"/>
            <w:noProof/>
          </w:rPr>
          <w:t>Safety assessment</w:t>
        </w:r>
        <w:r w:rsidR="00F75AFE">
          <w:rPr>
            <w:noProof/>
            <w:webHidden/>
          </w:rPr>
          <w:tab/>
        </w:r>
        <w:r w:rsidR="00F75AFE">
          <w:rPr>
            <w:noProof/>
            <w:webHidden/>
          </w:rPr>
          <w:fldChar w:fldCharType="begin"/>
        </w:r>
        <w:r w:rsidR="00F75AFE">
          <w:rPr>
            <w:noProof/>
            <w:webHidden/>
          </w:rPr>
          <w:instrText xml:space="preserve"> PAGEREF _Toc103671977 \h </w:instrText>
        </w:r>
        <w:r w:rsidR="00F75AFE">
          <w:rPr>
            <w:noProof/>
            <w:webHidden/>
          </w:rPr>
        </w:r>
        <w:r w:rsidR="00F75AFE">
          <w:rPr>
            <w:noProof/>
            <w:webHidden/>
          </w:rPr>
          <w:fldChar w:fldCharType="separate"/>
        </w:r>
        <w:r w:rsidR="004D5746">
          <w:rPr>
            <w:noProof/>
            <w:webHidden/>
          </w:rPr>
          <w:t>7</w:t>
        </w:r>
        <w:r w:rsidR="00F75AFE">
          <w:rPr>
            <w:noProof/>
            <w:webHidden/>
          </w:rPr>
          <w:fldChar w:fldCharType="end"/>
        </w:r>
      </w:hyperlink>
    </w:p>
    <w:p w14:paraId="413F88C5" w14:textId="78EC6CAA"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78" w:history="1">
        <w:r w:rsidR="00F75AFE" w:rsidRPr="00196C93">
          <w:rPr>
            <w:rStyle w:val="Hyperlink"/>
            <w:noProof/>
          </w:rPr>
          <w:t>3.1</w:t>
        </w:r>
        <w:r w:rsidR="00F75AFE">
          <w:rPr>
            <w:rFonts w:eastAsiaTheme="minorEastAsia" w:cstheme="minorBidi"/>
            <w:smallCaps w:val="0"/>
            <w:noProof/>
            <w:sz w:val="22"/>
            <w:szCs w:val="22"/>
            <w:lang w:eastAsia="en-GB" w:bidi="ar-SA"/>
          </w:rPr>
          <w:tab/>
        </w:r>
        <w:r w:rsidR="00F75AFE" w:rsidRPr="00196C93">
          <w:rPr>
            <w:rStyle w:val="Hyperlink"/>
            <w:noProof/>
          </w:rPr>
          <w:t>Source microorganisms</w:t>
        </w:r>
        <w:r w:rsidR="00F75AFE">
          <w:rPr>
            <w:noProof/>
            <w:webHidden/>
          </w:rPr>
          <w:tab/>
        </w:r>
        <w:r w:rsidR="00F75AFE">
          <w:rPr>
            <w:noProof/>
            <w:webHidden/>
          </w:rPr>
          <w:fldChar w:fldCharType="begin"/>
        </w:r>
        <w:r w:rsidR="00F75AFE">
          <w:rPr>
            <w:noProof/>
            <w:webHidden/>
          </w:rPr>
          <w:instrText xml:space="preserve"> PAGEREF _Toc103671978 \h </w:instrText>
        </w:r>
        <w:r w:rsidR="00F75AFE">
          <w:rPr>
            <w:noProof/>
            <w:webHidden/>
          </w:rPr>
        </w:r>
        <w:r w:rsidR="00F75AFE">
          <w:rPr>
            <w:noProof/>
            <w:webHidden/>
          </w:rPr>
          <w:fldChar w:fldCharType="separate"/>
        </w:r>
        <w:r w:rsidR="004D5746">
          <w:rPr>
            <w:noProof/>
            <w:webHidden/>
          </w:rPr>
          <w:t>7</w:t>
        </w:r>
        <w:r w:rsidR="00F75AFE">
          <w:rPr>
            <w:noProof/>
            <w:webHidden/>
          </w:rPr>
          <w:fldChar w:fldCharType="end"/>
        </w:r>
      </w:hyperlink>
    </w:p>
    <w:p w14:paraId="3D6EB7AC" w14:textId="3F5ED176"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79" w:history="1">
        <w:r w:rsidR="00F75AFE" w:rsidRPr="00196C93">
          <w:rPr>
            <w:rStyle w:val="Hyperlink"/>
            <w:noProof/>
          </w:rPr>
          <w:t>3.1.1</w:t>
        </w:r>
        <w:r w:rsidR="00F75AFE">
          <w:rPr>
            <w:rFonts w:eastAsiaTheme="minorEastAsia" w:cstheme="minorBidi"/>
            <w:i w:val="0"/>
            <w:iCs w:val="0"/>
            <w:noProof/>
            <w:sz w:val="22"/>
            <w:szCs w:val="22"/>
            <w:lang w:eastAsia="en-GB" w:bidi="ar-SA"/>
          </w:rPr>
          <w:tab/>
        </w:r>
        <w:r w:rsidR="00F75AFE" w:rsidRPr="00196C93">
          <w:rPr>
            <w:rStyle w:val="Hyperlink"/>
            <w:noProof/>
          </w:rPr>
          <w:t>Host organism</w:t>
        </w:r>
        <w:r w:rsidR="00F75AFE">
          <w:rPr>
            <w:noProof/>
            <w:webHidden/>
          </w:rPr>
          <w:tab/>
        </w:r>
        <w:r w:rsidR="00F75AFE">
          <w:rPr>
            <w:noProof/>
            <w:webHidden/>
          </w:rPr>
          <w:fldChar w:fldCharType="begin"/>
        </w:r>
        <w:r w:rsidR="00F75AFE">
          <w:rPr>
            <w:noProof/>
            <w:webHidden/>
          </w:rPr>
          <w:instrText xml:space="preserve"> PAGEREF _Toc103671979 \h </w:instrText>
        </w:r>
        <w:r w:rsidR="00F75AFE">
          <w:rPr>
            <w:noProof/>
            <w:webHidden/>
          </w:rPr>
        </w:r>
        <w:r w:rsidR="00F75AFE">
          <w:rPr>
            <w:noProof/>
            <w:webHidden/>
          </w:rPr>
          <w:fldChar w:fldCharType="separate"/>
        </w:r>
        <w:r w:rsidR="004D5746">
          <w:rPr>
            <w:noProof/>
            <w:webHidden/>
          </w:rPr>
          <w:t>7</w:t>
        </w:r>
        <w:r w:rsidR="00F75AFE">
          <w:rPr>
            <w:noProof/>
            <w:webHidden/>
          </w:rPr>
          <w:fldChar w:fldCharType="end"/>
        </w:r>
      </w:hyperlink>
    </w:p>
    <w:p w14:paraId="5B890D9C" w14:textId="2F28872D"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80" w:history="1">
        <w:r w:rsidR="00F75AFE" w:rsidRPr="00196C93">
          <w:rPr>
            <w:rStyle w:val="Hyperlink"/>
            <w:noProof/>
          </w:rPr>
          <w:t>3.1.2</w:t>
        </w:r>
        <w:r w:rsidR="00F75AFE">
          <w:rPr>
            <w:rFonts w:eastAsiaTheme="minorEastAsia" w:cstheme="minorBidi"/>
            <w:i w:val="0"/>
            <w:iCs w:val="0"/>
            <w:noProof/>
            <w:sz w:val="22"/>
            <w:szCs w:val="22"/>
            <w:lang w:eastAsia="en-GB" w:bidi="ar-SA"/>
          </w:rPr>
          <w:tab/>
        </w:r>
        <w:r w:rsidR="00F75AFE" w:rsidRPr="00196C93">
          <w:rPr>
            <w:rStyle w:val="Hyperlink"/>
            <w:noProof/>
          </w:rPr>
          <w:t>Gene donor organism</w:t>
        </w:r>
        <w:r w:rsidR="00F75AFE">
          <w:rPr>
            <w:noProof/>
            <w:webHidden/>
          </w:rPr>
          <w:tab/>
        </w:r>
        <w:r w:rsidR="00F75AFE">
          <w:rPr>
            <w:noProof/>
            <w:webHidden/>
          </w:rPr>
          <w:fldChar w:fldCharType="begin"/>
        </w:r>
        <w:r w:rsidR="00F75AFE">
          <w:rPr>
            <w:noProof/>
            <w:webHidden/>
          </w:rPr>
          <w:instrText xml:space="preserve"> PAGEREF _Toc103671980 \h </w:instrText>
        </w:r>
        <w:r w:rsidR="00F75AFE">
          <w:rPr>
            <w:noProof/>
            <w:webHidden/>
          </w:rPr>
        </w:r>
        <w:r w:rsidR="00F75AFE">
          <w:rPr>
            <w:noProof/>
            <w:webHidden/>
          </w:rPr>
          <w:fldChar w:fldCharType="separate"/>
        </w:r>
        <w:r w:rsidR="004D5746">
          <w:rPr>
            <w:noProof/>
            <w:webHidden/>
          </w:rPr>
          <w:t>7</w:t>
        </w:r>
        <w:r w:rsidR="00F75AFE">
          <w:rPr>
            <w:noProof/>
            <w:webHidden/>
          </w:rPr>
          <w:fldChar w:fldCharType="end"/>
        </w:r>
      </w:hyperlink>
    </w:p>
    <w:p w14:paraId="33DC087E" w14:textId="033131C8"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81" w:history="1">
        <w:r w:rsidR="00F75AFE" w:rsidRPr="00196C93">
          <w:rPr>
            <w:rStyle w:val="Hyperlink"/>
            <w:noProof/>
          </w:rPr>
          <w:t>3.2</w:t>
        </w:r>
        <w:r w:rsidR="00F75AFE">
          <w:rPr>
            <w:rFonts w:eastAsiaTheme="minorEastAsia" w:cstheme="minorBidi"/>
            <w:smallCaps w:val="0"/>
            <w:noProof/>
            <w:sz w:val="22"/>
            <w:szCs w:val="22"/>
            <w:lang w:eastAsia="en-GB" w:bidi="ar-SA"/>
          </w:rPr>
          <w:tab/>
        </w:r>
        <w:r w:rsidR="00F75AFE" w:rsidRPr="00196C93">
          <w:rPr>
            <w:rStyle w:val="Hyperlink"/>
            <w:noProof/>
          </w:rPr>
          <w:t>Characterisation of the genetic modification(s)</w:t>
        </w:r>
        <w:r w:rsidR="00F75AFE">
          <w:rPr>
            <w:noProof/>
            <w:webHidden/>
          </w:rPr>
          <w:tab/>
        </w:r>
        <w:r w:rsidR="00F75AFE">
          <w:rPr>
            <w:noProof/>
            <w:webHidden/>
          </w:rPr>
          <w:fldChar w:fldCharType="begin"/>
        </w:r>
        <w:r w:rsidR="00F75AFE">
          <w:rPr>
            <w:noProof/>
            <w:webHidden/>
          </w:rPr>
          <w:instrText xml:space="preserve"> PAGEREF _Toc103671981 \h </w:instrText>
        </w:r>
        <w:r w:rsidR="00F75AFE">
          <w:rPr>
            <w:noProof/>
            <w:webHidden/>
          </w:rPr>
        </w:r>
        <w:r w:rsidR="00F75AFE">
          <w:rPr>
            <w:noProof/>
            <w:webHidden/>
          </w:rPr>
          <w:fldChar w:fldCharType="separate"/>
        </w:r>
        <w:r w:rsidR="004D5746">
          <w:rPr>
            <w:noProof/>
            <w:webHidden/>
          </w:rPr>
          <w:t>7</w:t>
        </w:r>
        <w:r w:rsidR="00F75AFE">
          <w:rPr>
            <w:noProof/>
            <w:webHidden/>
          </w:rPr>
          <w:fldChar w:fldCharType="end"/>
        </w:r>
      </w:hyperlink>
    </w:p>
    <w:p w14:paraId="1B3E960E" w14:textId="2EDE966F"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82" w:history="1">
        <w:r w:rsidR="00F75AFE" w:rsidRPr="00196C93">
          <w:rPr>
            <w:rStyle w:val="Hyperlink"/>
            <w:noProof/>
          </w:rPr>
          <w:t>3.2.1</w:t>
        </w:r>
        <w:r w:rsidR="00F75AFE">
          <w:rPr>
            <w:rFonts w:eastAsiaTheme="minorEastAsia" w:cstheme="minorBidi"/>
            <w:i w:val="0"/>
            <w:iCs w:val="0"/>
            <w:noProof/>
            <w:sz w:val="22"/>
            <w:szCs w:val="22"/>
            <w:lang w:eastAsia="en-GB" w:bidi="ar-SA"/>
          </w:rPr>
          <w:tab/>
        </w:r>
        <w:r w:rsidR="00F75AFE" w:rsidRPr="00196C93">
          <w:rPr>
            <w:rStyle w:val="Hyperlink"/>
            <w:noProof/>
          </w:rPr>
          <w:t>Description of the DNA to be introduced and method of transformation</w:t>
        </w:r>
        <w:r w:rsidR="00F75AFE">
          <w:rPr>
            <w:noProof/>
            <w:webHidden/>
          </w:rPr>
          <w:tab/>
        </w:r>
        <w:r w:rsidR="00F75AFE">
          <w:rPr>
            <w:noProof/>
            <w:webHidden/>
          </w:rPr>
          <w:fldChar w:fldCharType="begin"/>
        </w:r>
        <w:r w:rsidR="00F75AFE">
          <w:rPr>
            <w:noProof/>
            <w:webHidden/>
          </w:rPr>
          <w:instrText xml:space="preserve"> PAGEREF _Toc103671982 \h </w:instrText>
        </w:r>
        <w:r w:rsidR="00F75AFE">
          <w:rPr>
            <w:noProof/>
            <w:webHidden/>
          </w:rPr>
        </w:r>
        <w:r w:rsidR="00F75AFE">
          <w:rPr>
            <w:noProof/>
            <w:webHidden/>
          </w:rPr>
          <w:fldChar w:fldCharType="separate"/>
        </w:r>
        <w:r w:rsidR="004D5746">
          <w:rPr>
            <w:noProof/>
            <w:webHidden/>
          </w:rPr>
          <w:t>7</w:t>
        </w:r>
        <w:r w:rsidR="00F75AFE">
          <w:rPr>
            <w:noProof/>
            <w:webHidden/>
          </w:rPr>
          <w:fldChar w:fldCharType="end"/>
        </w:r>
      </w:hyperlink>
    </w:p>
    <w:p w14:paraId="4B0F471D" w14:textId="60E0ECDC"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83" w:history="1">
        <w:r w:rsidR="00F75AFE" w:rsidRPr="00196C93">
          <w:rPr>
            <w:rStyle w:val="Hyperlink"/>
            <w:noProof/>
          </w:rPr>
          <w:t>3.2.2</w:t>
        </w:r>
        <w:r w:rsidR="00F75AFE">
          <w:rPr>
            <w:rFonts w:eastAsiaTheme="minorEastAsia" w:cstheme="minorBidi"/>
            <w:i w:val="0"/>
            <w:iCs w:val="0"/>
            <w:noProof/>
            <w:sz w:val="22"/>
            <w:szCs w:val="22"/>
            <w:lang w:eastAsia="en-GB" w:bidi="ar-SA"/>
          </w:rPr>
          <w:tab/>
        </w:r>
        <w:r w:rsidR="00F75AFE" w:rsidRPr="00196C93">
          <w:rPr>
            <w:rStyle w:val="Hyperlink"/>
            <w:noProof/>
          </w:rPr>
          <w:t>Characterisation of inserted DNA</w:t>
        </w:r>
        <w:r w:rsidR="00F75AFE">
          <w:rPr>
            <w:noProof/>
            <w:webHidden/>
          </w:rPr>
          <w:tab/>
        </w:r>
        <w:r w:rsidR="00F75AFE">
          <w:rPr>
            <w:noProof/>
            <w:webHidden/>
          </w:rPr>
          <w:fldChar w:fldCharType="begin"/>
        </w:r>
        <w:r w:rsidR="00F75AFE">
          <w:rPr>
            <w:noProof/>
            <w:webHidden/>
          </w:rPr>
          <w:instrText xml:space="preserve"> PAGEREF _Toc103671983 \h </w:instrText>
        </w:r>
        <w:r w:rsidR="00F75AFE">
          <w:rPr>
            <w:noProof/>
            <w:webHidden/>
          </w:rPr>
        </w:r>
        <w:r w:rsidR="00F75AFE">
          <w:rPr>
            <w:noProof/>
            <w:webHidden/>
          </w:rPr>
          <w:fldChar w:fldCharType="separate"/>
        </w:r>
        <w:r w:rsidR="004D5746">
          <w:rPr>
            <w:noProof/>
            <w:webHidden/>
          </w:rPr>
          <w:t>8</w:t>
        </w:r>
        <w:r w:rsidR="00F75AFE">
          <w:rPr>
            <w:noProof/>
            <w:webHidden/>
          </w:rPr>
          <w:fldChar w:fldCharType="end"/>
        </w:r>
      </w:hyperlink>
    </w:p>
    <w:p w14:paraId="24280DEF" w14:textId="7C36F1A9"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84" w:history="1">
        <w:r w:rsidR="00F75AFE" w:rsidRPr="00196C93">
          <w:rPr>
            <w:rStyle w:val="Hyperlink"/>
            <w:noProof/>
          </w:rPr>
          <w:t>3.2.3</w:t>
        </w:r>
        <w:r w:rsidR="00F75AFE">
          <w:rPr>
            <w:rFonts w:eastAsiaTheme="minorEastAsia" w:cstheme="minorBidi"/>
            <w:i w:val="0"/>
            <w:iCs w:val="0"/>
            <w:noProof/>
            <w:sz w:val="22"/>
            <w:szCs w:val="22"/>
            <w:lang w:eastAsia="en-GB" w:bidi="ar-SA"/>
          </w:rPr>
          <w:tab/>
        </w:r>
        <w:r w:rsidR="00F75AFE" w:rsidRPr="00196C93">
          <w:rPr>
            <w:rStyle w:val="Hyperlink"/>
            <w:noProof/>
          </w:rPr>
          <w:t>Genetic stability of the inserted gene</w:t>
        </w:r>
        <w:r w:rsidR="00F75AFE">
          <w:rPr>
            <w:noProof/>
            <w:webHidden/>
          </w:rPr>
          <w:tab/>
        </w:r>
        <w:r w:rsidR="00F75AFE">
          <w:rPr>
            <w:noProof/>
            <w:webHidden/>
          </w:rPr>
          <w:fldChar w:fldCharType="begin"/>
        </w:r>
        <w:r w:rsidR="00F75AFE">
          <w:rPr>
            <w:noProof/>
            <w:webHidden/>
          </w:rPr>
          <w:instrText xml:space="preserve"> PAGEREF _Toc103671984 \h </w:instrText>
        </w:r>
        <w:r w:rsidR="00F75AFE">
          <w:rPr>
            <w:noProof/>
            <w:webHidden/>
          </w:rPr>
        </w:r>
        <w:r w:rsidR="00F75AFE">
          <w:rPr>
            <w:noProof/>
            <w:webHidden/>
          </w:rPr>
          <w:fldChar w:fldCharType="separate"/>
        </w:r>
        <w:r w:rsidR="004D5746">
          <w:rPr>
            <w:noProof/>
            <w:webHidden/>
          </w:rPr>
          <w:t>8</w:t>
        </w:r>
        <w:r w:rsidR="00F75AFE">
          <w:rPr>
            <w:noProof/>
            <w:webHidden/>
          </w:rPr>
          <w:fldChar w:fldCharType="end"/>
        </w:r>
      </w:hyperlink>
    </w:p>
    <w:p w14:paraId="2FAB60F8" w14:textId="0F639478"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85" w:history="1">
        <w:r w:rsidR="00F75AFE" w:rsidRPr="00196C93">
          <w:rPr>
            <w:rStyle w:val="Hyperlink"/>
            <w:noProof/>
          </w:rPr>
          <w:t>3.3</w:t>
        </w:r>
        <w:r w:rsidR="00F75AFE">
          <w:rPr>
            <w:rFonts w:eastAsiaTheme="minorEastAsia" w:cstheme="minorBidi"/>
            <w:smallCaps w:val="0"/>
            <w:noProof/>
            <w:sz w:val="22"/>
            <w:szCs w:val="22"/>
            <w:lang w:eastAsia="en-GB" w:bidi="ar-SA"/>
          </w:rPr>
          <w:tab/>
        </w:r>
        <w:r w:rsidR="00F75AFE" w:rsidRPr="00196C93">
          <w:rPr>
            <w:rStyle w:val="Hyperlink"/>
            <w:noProof/>
          </w:rPr>
          <w:t>Safety of the polygalacturonase enzyme</w:t>
        </w:r>
        <w:r w:rsidR="00F75AFE">
          <w:rPr>
            <w:noProof/>
            <w:webHidden/>
          </w:rPr>
          <w:tab/>
        </w:r>
        <w:r w:rsidR="00F75AFE">
          <w:rPr>
            <w:noProof/>
            <w:webHidden/>
          </w:rPr>
          <w:fldChar w:fldCharType="begin"/>
        </w:r>
        <w:r w:rsidR="00F75AFE">
          <w:rPr>
            <w:noProof/>
            <w:webHidden/>
          </w:rPr>
          <w:instrText xml:space="preserve"> PAGEREF _Toc103671985 \h </w:instrText>
        </w:r>
        <w:r w:rsidR="00F75AFE">
          <w:rPr>
            <w:noProof/>
            <w:webHidden/>
          </w:rPr>
        </w:r>
        <w:r w:rsidR="00F75AFE">
          <w:rPr>
            <w:noProof/>
            <w:webHidden/>
          </w:rPr>
          <w:fldChar w:fldCharType="separate"/>
        </w:r>
        <w:r w:rsidR="004D5746">
          <w:rPr>
            <w:noProof/>
            <w:webHidden/>
          </w:rPr>
          <w:t>8</w:t>
        </w:r>
        <w:r w:rsidR="00F75AFE">
          <w:rPr>
            <w:noProof/>
            <w:webHidden/>
          </w:rPr>
          <w:fldChar w:fldCharType="end"/>
        </w:r>
      </w:hyperlink>
    </w:p>
    <w:p w14:paraId="5CB3C715" w14:textId="0979E184"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86" w:history="1">
        <w:r w:rsidR="00F75AFE" w:rsidRPr="00196C93">
          <w:rPr>
            <w:rStyle w:val="Hyperlink"/>
            <w:noProof/>
          </w:rPr>
          <w:t>3.3.1</w:t>
        </w:r>
        <w:r w:rsidR="00F75AFE">
          <w:rPr>
            <w:rFonts w:eastAsiaTheme="minorEastAsia" w:cstheme="minorBidi"/>
            <w:i w:val="0"/>
            <w:iCs w:val="0"/>
            <w:noProof/>
            <w:sz w:val="22"/>
            <w:szCs w:val="22"/>
            <w:lang w:eastAsia="en-GB" w:bidi="ar-SA"/>
          </w:rPr>
          <w:tab/>
        </w:r>
        <w:r w:rsidR="00F75AFE" w:rsidRPr="00196C93">
          <w:rPr>
            <w:rStyle w:val="Hyperlink"/>
            <w:noProof/>
          </w:rPr>
          <w:t>History of safe use of polygalacturonase</w:t>
        </w:r>
        <w:r w:rsidR="00F75AFE">
          <w:rPr>
            <w:noProof/>
            <w:webHidden/>
          </w:rPr>
          <w:tab/>
        </w:r>
        <w:r w:rsidR="00F75AFE">
          <w:rPr>
            <w:noProof/>
            <w:webHidden/>
          </w:rPr>
          <w:fldChar w:fldCharType="begin"/>
        </w:r>
        <w:r w:rsidR="00F75AFE">
          <w:rPr>
            <w:noProof/>
            <w:webHidden/>
          </w:rPr>
          <w:instrText xml:space="preserve"> PAGEREF _Toc103671986 \h </w:instrText>
        </w:r>
        <w:r w:rsidR="00F75AFE">
          <w:rPr>
            <w:noProof/>
            <w:webHidden/>
          </w:rPr>
        </w:r>
        <w:r w:rsidR="00F75AFE">
          <w:rPr>
            <w:noProof/>
            <w:webHidden/>
          </w:rPr>
          <w:fldChar w:fldCharType="separate"/>
        </w:r>
        <w:r w:rsidR="004D5746">
          <w:rPr>
            <w:noProof/>
            <w:webHidden/>
          </w:rPr>
          <w:t>8</w:t>
        </w:r>
        <w:r w:rsidR="00F75AFE">
          <w:rPr>
            <w:noProof/>
            <w:webHidden/>
          </w:rPr>
          <w:fldChar w:fldCharType="end"/>
        </w:r>
      </w:hyperlink>
    </w:p>
    <w:p w14:paraId="77E96B49" w14:textId="1298EA08"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87" w:history="1">
        <w:r w:rsidR="00F75AFE" w:rsidRPr="00196C93">
          <w:rPr>
            <w:rStyle w:val="Hyperlink"/>
            <w:noProof/>
          </w:rPr>
          <w:t>3.3.2</w:t>
        </w:r>
        <w:r w:rsidR="00F75AFE">
          <w:rPr>
            <w:rFonts w:eastAsiaTheme="minorEastAsia" w:cstheme="minorBidi"/>
            <w:i w:val="0"/>
            <w:iCs w:val="0"/>
            <w:noProof/>
            <w:sz w:val="22"/>
            <w:szCs w:val="22"/>
            <w:lang w:eastAsia="en-GB" w:bidi="ar-SA"/>
          </w:rPr>
          <w:tab/>
        </w:r>
        <w:r w:rsidR="00F75AFE" w:rsidRPr="00196C93">
          <w:rPr>
            <w:rStyle w:val="Hyperlink"/>
            <w:noProof/>
          </w:rPr>
          <w:t>Bioinformatics concerning potential for toxicity</w:t>
        </w:r>
        <w:r w:rsidR="00F75AFE">
          <w:rPr>
            <w:noProof/>
            <w:webHidden/>
          </w:rPr>
          <w:tab/>
        </w:r>
        <w:r w:rsidR="00F75AFE">
          <w:rPr>
            <w:noProof/>
            <w:webHidden/>
          </w:rPr>
          <w:fldChar w:fldCharType="begin"/>
        </w:r>
        <w:r w:rsidR="00F75AFE">
          <w:rPr>
            <w:noProof/>
            <w:webHidden/>
          </w:rPr>
          <w:instrText xml:space="preserve"> PAGEREF _Toc103671987 \h </w:instrText>
        </w:r>
        <w:r w:rsidR="00F75AFE">
          <w:rPr>
            <w:noProof/>
            <w:webHidden/>
          </w:rPr>
        </w:r>
        <w:r w:rsidR="00F75AFE">
          <w:rPr>
            <w:noProof/>
            <w:webHidden/>
          </w:rPr>
          <w:fldChar w:fldCharType="separate"/>
        </w:r>
        <w:r w:rsidR="004D5746">
          <w:rPr>
            <w:noProof/>
            <w:webHidden/>
          </w:rPr>
          <w:t>8</w:t>
        </w:r>
        <w:r w:rsidR="00F75AFE">
          <w:rPr>
            <w:noProof/>
            <w:webHidden/>
          </w:rPr>
          <w:fldChar w:fldCharType="end"/>
        </w:r>
      </w:hyperlink>
    </w:p>
    <w:p w14:paraId="50C5B69F" w14:textId="17CC9EDB"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88" w:history="1">
        <w:r w:rsidR="00F75AFE" w:rsidRPr="00196C93">
          <w:rPr>
            <w:rStyle w:val="Hyperlink"/>
            <w:noProof/>
          </w:rPr>
          <w:t>3.3.3</w:t>
        </w:r>
        <w:r w:rsidR="00F75AFE">
          <w:rPr>
            <w:rFonts w:eastAsiaTheme="minorEastAsia" w:cstheme="minorBidi"/>
            <w:i w:val="0"/>
            <w:iCs w:val="0"/>
            <w:noProof/>
            <w:sz w:val="22"/>
            <w:szCs w:val="22"/>
            <w:lang w:eastAsia="en-GB" w:bidi="ar-SA"/>
          </w:rPr>
          <w:tab/>
        </w:r>
        <w:r w:rsidR="00F75AFE" w:rsidRPr="00196C93">
          <w:rPr>
            <w:rStyle w:val="Hyperlink"/>
            <w:noProof/>
          </w:rPr>
          <w:t>Toxicology data</w:t>
        </w:r>
        <w:r w:rsidR="00F75AFE">
          <w:rPr>
            <w:noProof/>
            <w:webHidden/>
          </w:rPr>
          <w:tab/>
        </w:r>
        <w:r w:rsidR="00F75AFE">
          <w:rPr>
            <w:noProof/>
            <w:webHidden/>
          </w:rPr>
          <w:fldChar w:fldCharType="begin"/>
        </w:r>
        <w:r w:rsidR="00F75AFE">
          <w:rPr>
            <w:noProof/>
            <w:webHidden/>
          </w:rPr>
          <w:instrText xml:space="preserve"> PAGEREF _Toc103671988 \h </w:instrText>
        </w:r>
        <w:r w:rsidR="00F75AFE">
          <w:rPr>
            <w:noProof/>
            <w:webHidden/>
          </w:rPr>
        </w:r>
        <w:r w:rsidR="00F75AFE">
          <w:rPr>
            <w:noProof/>
            <w:webHidden/>
          </w:rPr>
          <w:fldChar w:fldCharType="separate"/>
        </w:r>
        <w:r w:rsidR="004D5746">
          <w:rPr>
            <w:noProof/>
            <w:webHidden/>
          </w:rPr>
          <w:t>9</w:t>
        </w:r>
        <w:r w:rsidR="00F75AFE">
          <w:rPr>
            <w:noProof/>
            <w:webHidden/>
          </w:rPr>
          <w:fldChar w:fldCharType="end"/>
        </w:r>
      </w:hyperlink>
    </w:p>
    <w:p w14:paraId="4BFBC934" w14:textId="62F91805"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89" w:history="1">
        <w:r w:rsidR="00F75AFE" w:rsidRPr="00196C93">
          <w:rPr>
            <w:rStyle w:val="Hyperlink"/>
            <w:noProof/>
          </w:rPr>
          <w:t>3.3.4</w:t>
        </w:r>
        <w:r w:rsidR="00F75AFE">
          <w:rPr>
            <w:rFonts w:eastAsiaTheme="minorEastAsia" w:cstheme="minorBidi"/>
            <w:i w:val="0"/>
            <w:iCs w:val="0"/>
            <w:noProof/>
            <w:sz w:val="22"/>
            <w:szCs w:val="22"/>
            <w:lang w:eastAsia="en-GB" w:bidi="ar-SA"/>
          </w:rPr>
          <w:tab/>
        </w:r>
        <w:r w:rsidR="00F75AFE" w:rsidRPr="00196C93">
          <w:rPr>
            <w:rStyle w:val="Hyperlink"/>
            <w:noProof/>
          </w:rPr>
          <w:t>Potential for allergenicity</w:t>
        </w:r>
        <w:r w:rsidR="00F75AFE">
          <w:rPr>
            <w:noProof/>
            <w:webHidden/>
          </w:rPr>
          <w:tab/>
        </w:r>
        <w:r w:rsidR="00F75AFE">
          <w:rPr>
            <w:noProof/>
            <w:webHidden/>
          </w:rPr>
          <w:fldChar w:fldCharType="begin"/>
        </w:r>
        <w:r w:rsidR="00F75AFE">
          <w:rPr>
            <w:noProof/>
            <w:webHidden/>
          </w:rPr>
          <w:instrText xml:space="preserve"> PAGEREF _Toc103671989 \h </w:instrText>
        </w:r>
        <w:r w:rsidR="00F75AFE">
          <w:rPr>
            <w:noProof/>
            <w:webHidden/>
          </w:rPr>
        </w:r>
        <w:r w:rsidR="00F75AFE">
          <w:rPr>
            <w:noProof/>
            <w:webHidden/>
          </w:rPr>
          <w:fldChar w:fldCharType="separate"/>
        </w:r>
        <w:r w:rsidR="004D5746">
          <w:rPr>
            <w:noProof/>
            <w:webHidden/>
          </w:rPr>
          <w:t>10</w:t>
        </w:r>
        <w:r w:rsidR="00F75AFE">
          <w:rPr>
            <w:noProof/>
            <w:webHidden/>
          </w:rPr>
          <w:fldChar w:fldCharType="end"/>
        </w:r>
      </w:hyperlink>
    </w:p>
    <w:p w14:paraId="1562A8C2" w14:textId="7B1AC90A" w:rsidR="00F75AFE" w:rsidRDefault="008D7425">
      <w:pPr>
        <w:pStyle w:val="TOC3"/>
        <w:tabs>
          <w:tab w:val="left" w:pos="1100"/>
          <w:tab w:val="right" w:leader="dot" w:pos="9060"/>
        </w:tabs>
        <w:rPr>
          <w:rFonts w:eastAsiaTheme="minorEastAsia" w:cstheme="minorBidi"/>
          <w:i w:val="0"/>
          <w:iCs w:val="0"/>
          <w:noProof/>
          <w:sz w:val="22"/>
          <w:szCs w:val="22"/>
          <w:lang w:eastAsia="en-GB" w:bidi="ar-SA"/>
        </w:rPr>
      </w:pPr>
      <w:hyperlink w:anchor="_Toc103671990" w:history="1">
        <w:r w:rsidR="00F75AFE" w:rsidRPr="00196C93">
          <w:rPr>
            <w:rStyle w:val="Hyperlink"/>
            <w:noProof/>
          </w:rPr>
          <w:t>3.3.5</w:t>
        </w:r>
        <w:r w:rsidR="00F75AFE">
          <w:rPr>
            <w:rFonts w:eastAsiaTheme="minorEastAsia" w:cstheme="minorBidi"/>
            <w:i w:val="0"/>
            <w:iCs w:val="0"/>
            <w:noProof/>
            <w:sz w:val="22"/>
            <w:szCs w:val="22"/>
            <w:lang w:eastAsia="en-GB" w:bidi="ar-SA"/>
          </w:rPr>
          <w:tab/>
        </w:r>
        <w:r w:rsidR="00F75AFE" w:rsidRPr="00196C93">
          <w:rPr>
            <w:rStyle w:val="Hyperlink"/>
            <w:noProof/>
          </w:rPr>
          <w:t>Assessments by other regulatory agencies</w:t>
        </w:r>
        <w:r w:rsidR="00F75AFE">
          <w:rPr>
            <w:noProof/>
            <w:webHidden/>
          </w:rPr>
          <w:tab/>
        </w:r>
        <w:r w:rsidR="00F75AFE">
          <w:rPr>
            <w:noProof/>
            <w:webHidden/>
          </w:rPr>
          <w:fldChar w:fldCharType="begin"/>
        </w:r>
        <w:r w:rsidR="00F75AFE">
          <w:rPr>
            <w:noProof/>
            <w:webHidden/>
          </w:rPr>
          <w:instrText xml:space="preserve"> PAGEREF _Toc103671990 \h </w:instrText>
        </w:r>
        <w:r w:rsidR="00F75AFE">
          <w:rPr>
            <w:noProof/>
            <w:webHidden/>
          </w:rPr>
        </w:r>
        <w:r w:rsidR="00F75AFE">
          <w:rPr>
            <w:noProof/>
            <w:webHidden/>
          </w:rPr>
          <w:fldChar w:fldCharType="separate"/>
        </w:r>
        <w:r w:rsidR="004D5746">
          <w:rPr>
            <w:noProof/>
            <w:webHidden/>
          </w:rPr>
          <w:t>11</w:t>
        </w:r>
        <w:r w:rsidR="00F75AFE">
          <w:rPr>
            <w:noProof/>
            <w:webHidden/>
          </w:rPr>
          <w:fldChar w:fldCharType="end"/>
        </w:r>
      </w:hyperlink>
    </w:p>
    <w:p w14:paraId="04F0DE4A" w14:textId="7CDD0A4B" w:rsidR="00F75AFE" w:rsidRDefault="008D7425">
      <w:pPr>
        <w:pStyle w:val="TOC2"/>
        <w:tabs>
          <w:tab w:val="left" w:pos="880"/>
          <w:tab w:val="right" w:leader="dot" w:pos="9060"/>
        </w:tabs>
        <w:rPr>
          <w:rFonts w:eastAsiaTheme="minorEastAsia" w:cstheme="minorBidi"/>
          <w:smallCaps w:val="0"/>
          <w:noProof/>
          <w:sz w:val="22"/>
          <w:szCs w:val="22"/>
          <w:lang w:eastAsia="en-GB" w:bidi="ar-SA"/>
        </w:rPr>
      </w:pPr>
      <w:hyperlink w:anchor="_Toc103671991" w:history="1">
        <w:r w:rsidR="00F75AFE" w:rsidRPr="00196C93">
          <w:rPr>
            <w:rStyle w:val="Hyperlink"/>
            <w:noProof/>
          </w:rPr>
          <w:t>3.4</w:t>
        </w:r>
        <w:r w:rsidR="00F75AFE">
          <w:rPr>
            <w:rFonts w:eastAsiaTheme="minorEastAsia" w:cstheme="minorBidi"/>
            <w:smallCaps w:val="0"/>
            <w:noProof/>
            <w:sz w:val="22"/>
            <w:szCs w:val="22"/>
            <w:lang w:eastAsia="en-GB" w:bidi="ar-SA"/>
          </w:rPr>
          <w:tab/>
        </w:r>
        <w:r w:rsidR="00F75AFE" w:rsidRPr="00196C93">
          <w:rPr>
            <w:rStyle w:val="Hyperlink"/>
            <w:noProof/>
          </w:rPr>
          <w:t>Dietary exposure assessment</w:t>
        </w:r>
        <w:r w:rsidR="00F75AFE">
          <w:rPr>
            <w:noProof/>
            <w:webHidden/>
          </w:rPr>
          <w:tab/>
        </w:r>
        <w:r w:rsidR="00F75AFE">
          <w:rPr>
            <w:noProof/>
            <w:webHidden/>
          </w:rPr>
          <w:fldChar w:fldCharType="begin"/>
        </w:r>
        <w:r w:rsidR="00F75AFE">
          <w:rPr>
            <w:noProof/>
            <w:webHidden/>
          </w:rPr>
          <w:instrText xml:space="preserve"> PAGEREF _Toc103671991 \h </w:instrText>
        </w:r>
        <w:r w:rsidR="00F75AFE">
          <w:rPr>
            <w:noProof/>
            <w:webHidden/>
          </w:rPr>
        </w:r>
        <w:r w:rsidR="00F75AFE">
          <w:rPr>
            <w:noProof/>
            <w:webHidden/>
          </w:rPr>
          <w:fldChar w:fldCharType="separate"/>
        </w:r>
        <w:r w:rsidR="004D5746">
          <w:rPr>
            <w:noProof/>
            <w:webHidden/>
          </w:rPr>
          <w:t>11</w:t>
        </w:r>
        <w:r w:rsidR="00F75AFE">
          <w:rPr>
            <w:noProof/>
            <w:webHidden/>
          </w:rPr>
          <w:fldChar w:fldCharType="end"/>
        </w:r>
      </w:hyperlink>
    </w:p>
    <w:p w14:paraId="278C7F1F" w14:textId="3D22625A" w:rsidR="00F75AFE" w:rsidRDefault="008D7425">
      <w:pPr>
        <w:pStyle w:val="TOC1"/>
        <w:tabs>
          <w:tab w:val="left" w:pos="440"/>
        </w:tabs>
        <w:rPr>
          <w:rFonts w:eastAsiaTheme="minorEastAsia" w:cstheme="minorBidi"/>
          <w:b w:val="0"/>
          <w:bCs w:val="0"/>
          <w:caps w:val="0"/>
          <w:noProof/>
          <w:sz w:val="22"/>
          <w:szCs w:val="22"/>
          <w:lang w:eastAsia="en-GB" w:bidi="ar-SA"/>
        </w:rPr>
      </w:pPr>
      <w:hyperlink w:anchor="_Toc103671992" w:history="1">
        <w:r w:rsidR="00F75AFE" w:rsidRPr="00196C93">
          <w:rPr>
            <w:rStyle w:val="Hyperlink"/>
            <w:noProof/>
          </w:rPr>
          <w:t>4</w:t>
        </w:r>
        <w:r w:rsidR="00F75AFE">
          <w:rPr>
            <w:rFonts w:eastAsiaTheme="minorEastAsia" w:cstheme="minorBidi"/>
            <w:b w:val="0"/>
            <w:bCs w:val="0"/>
            <w:caps w:val="0"/>
            <w:noProof/>
            <w:sz w:val="22"/>
            <w:szCs w:val="22"/>
            <w:lang w:eastAsia="en-GB" w:bidi="ar-SA"/>
          </w:rPr>
          <w:tab/>
        </w:r>
        <w:r w:rsidR="00F75AFE" w:rsidRPr="00196C93">
          <w:rPr>
            <w:rStyle w:val="Hyperlink"/>
            <w:noProof/>
          </w:rPr>
          <w:t>Discussion</w:t>
        </w:r>
        <w:r w:rsidR="00F75AFE">
          <w:rPr>
            <w:noProof/>
            <w:webHidden/>
          </w:rPr>
          <w:tab/>
        </w:r>
        <w:r w:rsidR="00F75AFE">
          <w:rPr>
            <w:noProof/>
            <w:webHidden/>
          </w:rPr>
          <w:fldChar w:fldCharType="begin"/>
        </w:r>
        <w:r w:rsidR="00F75AFE">
          <w:rPr>
            <w:noProof/>
            <w:webHidden/>
          </w:rPr>
          <w:instrText xml:space="preserve"> PAGEREF _Toc103671992 \h </w:instrText>
        </w:r>
        <w:r w:rsidR="00F75AFE">
          <w:rPr>
            <w:noProof/>
            <w:webHidden/>
          </w:rPr>
        </w:r>
        <w:r w:rsidR="00F75AFE">
          <w:rPr>
            <w:noProof/>
            <w:webHidden/>
          </w:rPr>
          <w:fldChar w:fldCharType="separate"/>
        </w:r>
        <w:r w:rsidR="004D5746">
          <w:rPr>
            <w:noProof/>
            <w:webHidden/>
          </w:rPr>
          <w:t>12</w:t>
        </w:r>
        <w:r w:rsidR="00F75AFE">
          <w:rPr>
            <w:noProof/>
            <w:webHidden/>
          </w:rPr>
          <w:fldChar w:fldCharType="end"/>
        </w:r>
      </w:hyperlink>
    </w:p>
    <w:p w14:paraId="53F5919E" w14:textId="5E6A96F2" w:rsidR="00F75AFE" w:rsidRDefault="008D7425">
      <w:pPr>
        <w:pStyle w:val="TOC1"/>
        <w:tabs>
          <w:tab w:val="left" w:pos="440"/>
        </w:tabs>
        <w:rPr>
          <w:rFonts w:eastAsiaTheme="minorEastAsia" w:cstheme="minorBidi"/>
          <w:b w:val="0"/>
          <w:bCs w:val="0"/>
          <w:caps w:val="0"/>
          <w:noProof/>
          <w:sz w:val="22"/>
          <w:szCs w:val="22"/>
          <w:lang w:eastAsia="en-GB" w:bidi="ar-SA"/>
        </w:rPr>
      </w:pPr>
      <w:hyperlink w:anchor="_Toc103671993" w:history="1">
        <w:r w:rsidR="00F75AFE" w:rsidRPr="00196C93">
          <w:rPr>
            <w:rStyle w:val="Hyperlink"/>
            <w:noProof/>
          </w:rPr>
          <w:t>5</w:t>
        </w:r>
        <w:r w:rsidR="00F75AFE">
          <w:rPr>
            <w:rFonts w:eastAsiaTheme="minorEastAsia" w:cstheme="minorBidi"/>
            <w:b w:val="0"/>
            <w:bCs w:val="0"/>
            <w:caps w:val="0"/>
            <w:noProof/>
            <w:sz w:val="22"/>
            <w:szCs w:val="22"/>
            <w:lang w:eastAsia="en-GB" w:bidi="ar-SA"/>
          </w:rPr>
          <w:tab/>
        </w:r>
        <w:r w:rsidR="00F75AFE" w:rsidRPr="00196C93">
          <w:rPr>
            <w:rStyle w:val="Hyperlink"/>
            <w:noProof/>
          </w:rPr>
          <w:t>Conclusion</w:t>
        </w:r>
        <w:r w:rsidR="00F75AFE">
          <w:rPr>
            <w:noProof/>
            <w:webHidden/>
          </w:rPr>
          <w:tab/>
        </w:r>
        <w:r w:rsidR="00F75AFE">
          <w:rPr>
            <w:noProof/>
            <w:webHidden/>
          </w:rPr>
          <w:fldChar w:fldCharType="begin"/>
        </w:r>
        <w:r w:rsidR="00F75AFE">
          <w:rPr>
            <w:noProof/>
            <w:webHidden/>
          </w:rPr>
          <w:instrText xml:space="preserve"> PAGEREF _Toc103671993 \h </w:instrText>
        </w:r>
        <w:r w:rsidR="00F75AFE">
          <w:rPr>
            <w:noProof/>
            <w:webHidden/>
          </w:rPr>
        </w:r>
        <w:r w:rsidR="00F75AFE">
          <w:rPr>
            <w:noProof/>
            <w:webHidden/>
          </w:rPr>
          <w:fldChar w:fldCharType="separate"/>
        </w:r>
        <w:r w:rsidR="004D5746">
          <w:rPr>
            <w:noProof/>
            <w:webHidden/>
          </w:rPr>
          <w:t>12</w:t>
        </w:r>
        <w:r w:rsidR="00F75AFE">
          <w:rPr>
            <w:noProof/>
            <w:webHidden/>
          </w:rPr>
          <w:fldChar w:fldCharType="end"/>
        </w:r>
      </w:hyperlink>
    </w:p>
    <w:p w14:paraId="0EE02D92" w14:textId="065AA325" w:rsidR="00F75AFE" w:rsidRDefault="008D7425">
      <w:pPr>
        <w:pStyle w:val="TOC1"/>
        <w:tabs>
          <w:tab w:val="left" w:pos="440"/>
        </w:tabs>
        <w:rPr>
          <w:rFonts w:eastAsiaTheme="minorEastAsia" w:cstheme="minorBidi"/>
          <w:b w:val="0"/>
          <w:bCs w:val="0"/>
          <w:caps w:val="0"/>
          <w:noProof/>
          <w:sz w:val="22"/>
          <w:szCs w:val="22"/>
          <w:lang w:eastAsia="en-GB" w:bidi="ar-SA"/>
        </w:rPr>
      </w:pPr>
      <w:hyperlink w:anchor="_Toc103671994" w:history="1">
        <w:r w:rsidR="00F75AFE" w:rsidRPr="00196C93">
          <w:rPr>
            <w:rStyle w:val="Hyperlink"/>
            <w:noProof/>
          </w:rPr>
          <w:t xml:space="preserve">6 </w:t>
        </w:r>
        <w:r w:rsidR="00F75AFE">
          <w:rPr>
            <w:rFonts w:eastAsiaTheme="minorEastAsia" w:cstheme="minorBidi"/>
            <w:b w:val="0"/>
            <w:bCs w:val="0"/>
            <w:caps w:val="0"/>
            <w:noProof/>
            <w:sz w:val="22"/>
            <w:szCs w:val="22"/>
            <w:lang w:eastAsia="en-GB" w:bidi="ar-SA"/>
          </w:rPr>
          <w:tab/>
        </w:r>
        <w:r w:rsidR="00F75AFE" w:rsidRPr="00196C93">
          <w:rPr>
            <w:rStyle w:val="Hyperlink"/>
            <w:noProof/>
          </w:rPr>
          <w:t>References</w:t>
        </w:r>
        <w:r w:rsidR="00F75AFE">
          <w:rPr>
            <w:noProof/>
            <w:webHidden/>
          </w:rPr>
          <w:tab/>
        </w:r>
        <w:r w:rsidR="00F75AFE">
          <w:rPr>
            <w:noProof/>
            <w:webHidden/>
          </w:rPr>
          <w:fldChar w:fldCharType="begin"/>
        </w:r>
        <w:r w:rsidR="00F75AFE">
          <w:rPr>
            <w:noProof/>
            <w:webHidden/>
          </w:rPr>
          <w:instrText xml:space="preserve"> PAGEREF _Toc103671994 \h </w:instrText>
        </w:r>
        <w:r w:rsidR="00F75AFE">
          <w:rPr>
            <w:noProof/>
            <w:webHidden/>
          </w:rPr>
        </w:r>
        <w:r w:rsidR="00F75AFE">
          <w:rPr>
            <w:noProof/>
            <w:webHidden/>
          </w:rPr>
          <w:fldChar w:fldCharType="separate"/>
        </w:r>
        <w:r w:rsidR="004D5746">
          <w:rPr>
            <w:noProof/>
            <w:webHidden/>
          </w:rPr>
          <w:t>13</w:t>
        </w:r>
        <w:r w:rsidR="00F75AFE">
          <w:rPr>
            <w:noProof/>
            <w:webHidden/>
          </w:rPr>
          <w:fldChar w:fldCharType="end"/>
        </w:r>
      </w:hyperlink>
    </w:p>
    <w:p w14:paraId="4C42E1C4" w14:textId="65D942A0" w:rsidR="00562917" w:rsidRDefault="00326D85" w:rsidP="00051ED9">
      <w:r>
        <w:fldChar w:fldCharType="end"/>
      </w:r>
    </w:p>
    <w:p w14:paraId="3CDBF0DF" w14:textId="77777777" w:rsidR="00E066BA" w:rsidRDefault="00E066BA" w:rsidP="00051ED9"/>
    <w:p w14:paraId="5CB47E97" w14:textId="77777777" w:rsidR="00051ED9" w:rsidRDefault="00562917" w:rsidP="00772BDC">
      <w:r w:rsidRPr="00E203C2">
        <w:br w:type="page"/>
      </w:r>
    </w:p>
    <w:p w14:paraId="48837FF6" w14:textId="4CC1CF98" w:rsidR="0008655E" w:rsidRDefault="004A13AF" w:rsidP="004A13AF">
      <w:pPr>
        <w:pStyle w:val="Heading1"/>
        <w:ind w:left="0" w:firstLine="0"/>
      </w:pPr>
      <w:bookmarkStart w:id="6" w:name="_Toc501699816"/>
      <w:bookmarkStart w:id="7" w:name="_Toc536543984"/>
      <w:bookmarkStart w:id="8" w:name="_Toc536607119"/>
      <w:bookmarkStart w:id="9" w:name="_Toc30154591"/>
      <w:bookmarkStart w:id="10" w:name="_Toc85204754"/>
      <w:bookmarkStart w:id="11" w:name="_Toc85211316"/>
      <w:bookmarkStart w:id="12" w:name="_Toc87259291"/>
      <w:bookmarkStart w:id="13" w:name="_Toc99464545"/>
      <w:bookmarkStart w:id="14" w:name="_Toc99458042"/>
      <w:bookmarkStart w:id="15" w:name="_Toc103671966"/>
      <w:bookmarkStart w:id="16" w:name="_Toc536543986"/>
      <w:bookmarkStart w:id="17" w:name="_Toc536607121"/>
      <w:bookmarkStart w:id="18" w:name="_Toc30154593"/>
      <w:bookmarkStart w:id="19" w:name="_Toc85204756"/>
      <w:bookmarkStart w:id="20" w:name="_Toc85211318"/>
      <w:bookmarkStart w:id="21" w:name="_Toc87259293"/>
      <w:r>
        <w:lastRenderedPageBreak/>
        <w:t>1.</w:t>
      </w:r>
      <w:r>
        <w:tab/>
      </w:r>
      <w:r w:rsidR="0008655E">
        <w:t>Introduction</w:t>
      </w:r>
      <w:bookmarkEnd w:id="6"/>
      <w:bookmarkEnd w:id="7"/>
      <w:bookmarkEnd w:id="8"/>
      <w:bookmarkEnd w:id="9"/>
      <w:bookmarkEnd w:id="10"/>
      <w:bookmarkEnd w:id="11"/>
      <w:bookmarkEnd w:id="12"/>
      <w:bookmarkEnd w:id="13"/>
      <w:bookmarkEnd w:id="14"/>
      <w:bookmarkEnd w:id="15"/>
    </w:p>
    <w:p w14:paraId="0365106D" w14:textId="4B83DFCE" w:rsidR="0023482A" w:rsidRDefault="0092306E" w:rsidP="0023482A">
      <w:r>
        <w:rPr>
          <w:lang w:bidi="ar-SA"/>
        </w:rPr>
        <w:t>The a</w:t>
      </w:r>
      <w:r w:rsidR="0067248B">
        <w:rPr>
          <w:lang w:bidi="ar-SA"/>
        </w:rPr>
        <w:t xml:space="preserve">pplicant, </w:t>
      </w:r>
      <w:r w:rsidR="0067248B" w:rsidRPr="00431724">
        <w:t xml:space="preserve">AB Enzymes, is seeking permission for </w:t>
      </w:r>
      <w:r w:rsidR="0017450C">
        <w:rPr>
          <w:rFonts w:eastAsia="Calibri"/>
          <w:lang w:eastAsia="en-AU"/>
        </w:rPr>
        <w:t>polyg</w:t>
      </w:r>
      <w:r w:rsidR="0067248B">
        <w:rPr>
          <w:rFonts w:eastAsia="Calibri"/>
          <w:lang w:eastAsia="en-AU"/>
        </w:rPr>
        <w:t>alacturonase</w:t>
      </w:r>
      <w:r w:rsidR="00AD72D4">
        <w:rPr>
          <w:rFonts w:eastAsia="Calibri"/>
          <w:lang w:eastAsia="en-AU"/>
        </w:rPr>
        <w:t xml:space="preserve"> </w:t>
      </w:r>
      <w:r w:rsidR="0067248B" w:rsidRPr="009521AB">
        <w:rPr>
          <w:rFonts w:cs="Arial"/>
          <w:szCs w:val="22"/>
        </w:rPr>
        <w:t>(EC 3.</w:t>
      </w:r>
      <w:r w:rsidR="0067248B">
        <w:rPr>
          <w:rFonts w:cs="Arial"/>
          <w:szCs w:val="22"/>
        </w:rPr>
        <w:t>2</w:t>
      </w:r>
      <w:r w:rsidR="0067248B" w:rsidRPr="009521AB">
        <w:rPr>
          <w:rFonts w:cs="Arial"/>
          <w:szCs w:val="22"/>
        </w:rPr>
        <w:t>.1.</w:t>
      </w:r>
      <w:r w:rsidR="0067248B">
        <w:rPr>
          <w:rFonts w:cs="Arial"/>
          <w:szCs w:val="22"/>
        </w:rPr>
        <w:t>1</w:t>
      </w:r>
      <w:r w:rsidR="0067248B" w:rsidRPr="009521AB">
        <w:rPr>
          <w:rFonts w:cs="Arial"/>
          <w:szCs w:val="22"/>
        </w:rPr>
        <w:t xml:space="preserve">5) </w:t>
      </w:r>
      <w:r w:rsidR="00A21B3D">
        <w:rPr>
          <w:rFonts w:cs="Arial"/>
          <w:szCs w:val="22"/>
        </w:rPr>
        <w:t xml:space="preserve">for use </w:t>
      </w:r>
      <w:r w:rsidR="0067248B" w:rsidRPr="00D30F8A">
        <w:rPr>
          <w:lang w:val="en-AU" w:bidi="ar-SA"/>
        </w:rPr>
        <w:t xml:space="preserve">as a processing aid. </w:t>
      </w:r>
      <w:r w:rsidR="0067248B" w:rsidRPr="00D30F8A">
        <w:rPr>
          <w:rFonts w:eastAsia="Calibri"/>
          <w:lang w:eastAsia="en-AU"/>
        </w:rPr>
        <w:t xml:space="preserve">The enzyme is produced from </w:t>
      </w:r>
      <w:r w:rsidR="0067248B" w:rsidRPr="00D30F8A">
        <w:rPr>
          <w:lang w:bidi="ar-SA"/>
        </w:rPr>
        <w:t>a</w:t>
      </w:r>
      <w:r w:rsidR="0067248B">
        <w:rPr>
          <w:lang w:bidi="ar-SA"/>
        </w:rPr>
        <w:t xml:space="preserve"> genetically modified (GM)</w:t>
      </w:r>
      <w:r w:rsidR="0067248B" w:rsidRPr="00D30F8A">
        <w:rPr>
          <w:lang w:bidi="ar-SA"/>
        </w:rPr>
        <w:t xml:space="preserve"> strain</w:t>
      </w:r>
      <w:r w:rsidR="0067248B" w:rsidRPr="00D30F8A" w:rsidDel="00AB3162">
        <w:rPr>
          <w:rFonts w:eastAsia="Calibri"/>
          <w:lang w:eastAsia="en-AU"/>
        </w:rPr>
        <w:t xml:space="preserve"> </w:t>
      </w:r>
      <w:r w:rsidR="0067248B" w:rsidRPr="00D30F8A">
        <w:rPr>
          <w:rFonts w:eastAsia="Calibri"/>
          <w:lang w:eastAsia="en-AU"/>
        </w:rPr>
        <w:t xml:space="preserve">of </w:t>
      </w:r>
      <w:r w:rsidR="0067248B">
        <w:rPr>
          <w:rFonts w:eastAsia="Calibri"/>
          <w:i/>
          <w:iCs/>
          <w:lang w:eastAsia="en-AU"/>
        </w:rPr>
        <w:t>Aspergillus oryzae</w:t>
      </w:r>
      <w:r w:rsidR="0067248B" w:rsidRPr="00D30F8A">
        <w:t xml:space="preserve"> </w:t>
      </w:r>
      <w:r w:rsidR="00507766">
        <w:t>(</w:t>
      </w:r>
      <w:r w:rsidR="00507766">
        <w:rPr>
          <w:i/>
        </w:rPr>
        <w:t xml:space="preserve">A. oryzae) </w:t>
      </w:r>
      <w:r w:rsidR="0067248B" w:rsidRPr="00D30F8A">
        <w:t xml:space="preserve">containing the </w:t>
      </w:r>
      <w:r w:rsidR="0067248B">
        <w:t>polygalacturonase</w:t>
      </w:r>
      <w:r w:rsidR="0067248B" w:rsidRPr="00D30F8A">
        <w:t xml:space="preserve"> gene from </w:t>
      </w:r>
      <w:r w:rsidR="0067248B">
        <w:rPr>
          <w:i/>
        </w:rPr>
        <w:t>Aspergillus tubingensis</w:t>
      </w:r>
      <w:r w:rsidR="00507766">
        <w:rPr>
          <w:i/>
        </w:rPr>
        <w:t xml:space="preserve"> </w:t>
      </w:r>
      <w:r w:rsidR="00507766">
        <w:rPr>
          <w:szCs w:val="22"/>
        </w:rPr>
        <w:t>(</w:t>
      </w:r>
      <w:r w:rsidR="00507766">
        <w:rPr>
          <w:i/>
          <w:szCs w:val="22"/>
        </w:rPr>
        <w:t>A. tubingensis</w:t>
      </w:r>
      <w:r w:rsidR="00507766">
        <w:rPr>
          <w:szCs w:val="22"/>
        </w:rPr>
        <w:t>)</w:t>
      </w:r>
      <w:r w:rsidR="0067248B" w:rsidRPr="00D30F8A">
        <w:rPr>
          <w:i/>
        </w:rPr>
        <w:t>.</w:t>
      </w:r>
      <w:r w:rsidR="0067248B">
        <w:rPr>
          <w:i/>
        </w:rPr>
        <w:t xml:space="preserve"> </w:t>
      </w:r>
      <w:r w:rsidR="0067248B">
        <w:t xml:space="preserve">The specific name for the production </w:t>
      </w:r>
      <w:r w:rsidR="00B0475D">
        <w:t>strain</w:t>
      </w:r>
      <w:r w:rsidR="0067248B">
        <w:t xml:space="preserve"> is </w:t>
      </w:r>
      <w:r w:rsidR="00507766">
        <w:rPr>
          <w:rFonts w:eastAsia="Calibri"/>
          <w:i/>
          <w:iCs/>
          <w:lang w:eastAsia="en-AU"/>
        </w:rPr>
        <w:t xml:space="preserve">A. </w:t>
      </w:r>
      <w:r w:rsidR="00146682">
        <w:rPr>
          <w:rFonts w:eastAsia="Calibri"/>
          <w:i/>
          <w:iCs/>
          <w:lang w:eastAsia="en-AU"/>
        </w:rPr>
        <w:t>oryzae</w:t>
      </w:r>
      <w:r w:rsidR="00BD655E">
        <w:rPr>
          <w:rFonts w:eastAsia="Calibri"/>
          <w:i/>
          <w:iCs/>
          <w:lang w:eastAsia="en-AU"/>
        </w:rPr>
        <w:t xml:space="preserve"> </w:t>
      </w:r>
      <w:r w:rsidR="00BD655E">
        <w:rPr>
          <w:rFonts w:eastAsia="Calibri"/>
          <w:iCs/>
          <w:lang w:eastAsia="en-AU"/>
        </w:rPr>
        <w:t xml:space="preserve">strain </w:t>
      </w:r>
      <w:r w:rsidR="00BD655E" w:rsidRPr="00146682">
        <w:t>AR-183</w:t>
      </w:r>
      <w:r w:rsidR="00146682">
        <w:rPr>
          <w:rFonts w:eastAsia="Calibri"/>
          <w:i/>
          <w:iCs/>
          <w:lang w:eastAsia="en-AU"/>
        </w:rPr>
        <w:t>.</w:t>
      </w:r>
    </w:p>
    <w:p w14:paraId="46D4ADD2" w14:textId="3C4D004E" w:rsidR="0067248B" w:rsidRDefault="0067248B" w:rsidP="0023482A"/>
    <w:p w14:paraId="71117F3C" w14:textId="37C7708A" w:rsidR="0067248B" w:rsidRDefault="00AD72D4" w:rsidP="0023482A">
      <w:pPr>
        <w:rPr>
          <w:rFonts w:cs="Arial"/>
          <w:szCs w:val="22"/>
        </w:rPr>
      </w:pPr>
      <w:r>
        <w:rPr>
          <w:rFonts w:cs="Arial"/>
          <w:szCs w:val="22"/>
        </w:rPr>
        <w:t>P</w:t>
      </w:r>
      <w:r w:rsidR="0067248B">
        <w:rPr>
          <w:rFonts w:cs="Arial"/>
          <w:szCs w:val="22"/>
        </w:rPr>
        <w:t>olygalacturonase</w:t>
      </w:r>
      <w:r w:rsidR="0067248B" w:rsidRPr="009521AB">
        <w:rPr>
          <w:rFonts w:cs="Arial"/>
          <w:szCs w:val="22"/>
        </w:rPr>
        <w:t xml:space="preserve"> is a </w:t>
      </w:r>
      <w:r w:rsidR="00146682">
        <w:rPr>
          <w:rFonts w:cs="Arial"/>
          <w:szCs w:val="22"/>
        </w:rPr>
        <w:t>pectinase</w:t>
      </w:r>
      <w:r w:rsidR="0067248B" w:rsidRPr="009521AB">
        <w:rPr>
          <w:rFonts w:cs="Arial"/>
          <w:szCs w:val="22"/>
        </w:rPr>
        <w:t xml:space="preserve"> suitable for hydrolysing</w:t>
      </w:r>
      <w:r w:rsidR="008F67A2">
        <w:rPr>
          <w:rFonts w:cs="Arial"/>
          <w:szCs w:val="22"/>
        </w:rPr>
        <w:t xml:space="preserve"> pectin</w:t>
      </w:r>
      <w:r w:rsidR="0067248B">
        <w:rPr>
          <w:rFonts w:cs="Arial"/>
          <w:szCs w:val="22"/>
        </w:rPr>
        <w:t xml:space="preserve"> and</w:t>
      </w:r>
      <w:r w:rsidR="0067248B" w:rsidRPr="009521AB">
        <w:rPr>
          <w:rFonts w:cs="Arial"/>
          <w:szCs w:val="22"/>
        </w:rPr>
        <w:t xml:space="preserve"> </w:t>
      </w:r>
      <w:r w:rsidR="00B57B66">
        <w:rPr>
          <w:rFonts w:cs="Arial"/>
          <w:szCs w:val="22"/>
        </w:rPr>
        <w:t xml:space="preserve">can be </w:t>
      </w:r>
      <w:r w:rsidR="0067248B" w:rsidRPr="009521AB">
        <w:rPr>
          <w:rFonts w:cs="Arial"/>
          <w:szCs w:val="22"/>
        </w:rPr>
        <w:t xml:space="preserve">used </w:t>
      </w:r>
      <w:r w:rsidR="003510E1" w:rsidRPr="009521AB">
        <w:rPr>
          <w:rFonts w:cs="Arial"/>
          <w:szCs w:val="22"/>
        </w:rPr>
        <w:t xml:space="preserve">in the manufacture </w:t>
      </w:r>
      <w:r w:rsidR="003510E1">
        <w:t>and/or processing of fruit and vegetable juices/</w:t>
      </w:r>
      <w:r w:rsidR="003510E1" w:rsidRPr="00273B52">
        <w:t xml:space="preserve">products; </w:t>
      </w:r>
      <w:r w:rsidR="003510E1">
        <w:t>and in the production of coffee</w:t>
      </w:r>
      <w:r w:rsidR="003510E1" w:rsidRPr="00273B52">
        <w:t xml:space="preserve">, flavouring </w:t>
      </w:r>
      <w:r w:rsidR="003510E1">
        <w:t>substances and wine</w:t>
      </w:r>
      <w:r w:rsidR="0067248B">
        <w:rPr>
          <w:rFonts w:cs="Arial"/>
          <w:szCs w:val="22"/>
        </w:rPr>
        <w:t>.</w:t>
      </w:r>
    </w:p>
    <w:p w14:paraId="7AEEE5FE" w14:textId="7E487A7E" w:rsidR="0067248B" w:rsidRDefault="0067248B" w:rsidP="0023482A">
      <w:pPr>
        <w:rPr>
          <w:rFonts w:cs="Arial"/>
          <w:szCs w:val="22"/>
        </w:rPr>
      </w:pPr>
    </w:p>
    <w:p w14:paraId="1297C04B" w14:textId="2266B94F" w:rsidR="0067248B" w:rsidRDefault="00146682" w:rsidP="00B57B66">
      <w:pPr>
        <w:pStyle w:val="AARBullet"/>
        <w:numPr>
          <w:ilvl w:val="0"/>
          <w:numId w:val="0"/>
        </w:numPr>
        <w:spacing w:before="0" w:after="0"/>
        <w:rPr>
          <w:sz w:val="22"/>
          <w:szCs w:val="22"/>
          <w:lang w:val="en-GB" w:bidi="en-US"/>
        </w:rPr>
      </w:pPr>
      <w:r w:rsidRPr="00146682">
        <w:rPr>
          <w:sz w:val="22"/>
          <w:szCs w:val="22"/>
          <w:lang w:val="en-GB" w:bidi="en-US"/>
        </w:rPr>
        <w:t xml:space="preserve">Marketed via an enzyme preparation, if approved, the enzyme is to be </w:t>
      </w:r>
      <w:r w:rsidR="003A6779">
        <w:rPr>
          <w:sz w:val="22"/>
          <w:szCs w:val="22"/>
          <w:lang w:val="en-GB" w:bidi="en-US"/>
        </w:rPr>
        <w:t>used in combination with pectin</w:t>
      </w:r>
      <w:r w:rsidRPr="00146682">
        <w:rPr>
          <w:sz w:val="22"/>
          <w:szCs w:val="22"/>
          <w:lang w:val="en-GB" w:bidi="en-US"/>
        </w:rPr>
        <w:t xml:space="preserve">esterase being assessed under </w:t>
      </w:r>
      <w:r w:rsidR="00A21B3D">
        <w:rPr>
          <w:sz w:val="22"/>
          <w:szCs w:val="22"/>
          <w:lang w:val="en-GB" w:bidi="en-US"/>
        </w:rPr>
        <w:t xml:space="preserve">FSANZ Application </w:t>
      </w:r>
      <w:r w:rsidRPr="00146682">
        <w:rPr>
          <w:sz w:val="22"/>
          <w:szCs w:val="22"/>
          <w:lang w:val="en-GB" w:bidi="en-US"/>
        </w:rPr>
        <w:t xml:space="preserve">A1241 (A1241 was submitted simultaneously with A1240). The </w:t>
      </w:r>
      <w:r w:rsidR="002C6BE8">
        <w:rPr>
          <w:sz w:val="22"/>
          <w:szCs w:val="22"/>
          <w:lang w:val="en-GB" w:bidi="en-US"/>
        </w:rPr>
        <w:t>p</w:t>
      </w:r>
      <w:r w:rsidR="002C6BE8" w:rsidRPr="002C6BE8">
        <w:rPr>
          <w:sz w:val="22"/>
          <w:szCs w:val="22"/>
          <w:lang w:val="en-GB" w:bidi="en-US"/>
        </w:rPr>
        <w:t>olygalacturonase</w:t>
      </w:r>
      <w:r w:rsidR="002C6BE8">
        <w:t>/</w:t>
      </w:r>
      <w:r w:rsidR="002C6BE8" w:rsidRPr="002C6BE8">
        <w:rPr>
          <w:sz w:val="22"/>
          <w:szCs w:val="22"/>
          <w:lang w:val="en-GB" w:bidi="en-US"/>
        </w:rPr>
        <w:t xml:space="preserve">pectinesterase </w:t>
      </w:r>
      <w:r w:rsidR="002C6BE8">
        <w:rPr>
          <w:sz w:val="22"/>
          <w:szCs w:val="22"/>
          <w:lang w:val="en-GB" w:bidi="en-US"/>
        </w:rPr>
        <w:t xml:space="preserve">enzyme </w:t>
      </w:r>
      <w:r w:rsidRPr="00146682">
        <w:rPr>
          <w:sz w:val="22"/>
          <w:szCs w:val="22"/>
          <w:lang w:val="en-GB" w:bidi="en-US"/>
        </w:rPr>
        <w:t xml:space="preserve">blend is sold by the applicant under the proprietary name ROHAPECT® MA Plus. It will be </w:t>
      </w:r>
      <w:r w:rsidR="0067248B" w:rsidRPr="00146682">
        <w:rPr>
          <w:sz w:val="22"/>
          <w:szCs w:val="22"/>
          <w:lang w:val="en-GB" w:bidi="en-US"/>
        </w:rPr>
        <w:t>used as a processing aid at low levels and is either not present in the final food or present in insignificant quantities, having no technical function in the final food.</w:t>
      </w:r>
    </w:p>
    <w:p w14:paraId="2AF037DE" w14:textId="77777777" w:rsidR="0042015E" w:rsidRDefault="0042015E" w:rsidP="0042015E">
      <w:pPr>
        <w:pStyle w:val="Heading2"/>
      </w:pPr>
      <w:bookmarkStart w:id="22" w:name="_Toc62740776"/>
      <w:bookmarkStart w:id="23" w:name="_Toc65157408"/>
      <w:bookmarkStart w:id="24" w:name="_Toc65157977"/>
      <w:bookmarkStart w:id="25" w:name="_Toc67471240"/>
      <w:bookmarkStart w:id="26" w:name="_Toc99464546"/>
      <w:bookmarkStart w:id="27" w:name="_Toc99458043"/>
      <w:bookmarkStart w:id="28" w:name="_Toc103671967"/>
      <w:r>
        <w:t>1.1</w:t>
      </w:r>
      <w:r>
        <w:tab/>
        <w:t>Objectives of the assessment</w:t>
      </w:r>
      <w:bookmarkEnd w:id="22"/>
      <w:bookmarkEnd w:id="23"/>
      <w:bookmarkEnd w:id="24"/>
      <w:bookmarkEnd w:id="25"/>
      <w:bookmarkEnd w:id="26"/>
      <w:bookmarkEnd w:id="27"/>
      <w:bookmarkEnd w:id="28"/>
    </w:p>
    <w:p w14:paraId="5C9C033B" w14:textId="77777777" w:rsidR="0042015E" w:rsidRPr="00B07A52" w:rsidRDefault="0042015E" w:rsidP="0042015E">
      <w:r w:rsidRPr="00B07A52">
        <w:t>The objectives of this technical and safety assessment were to:</w:t>
      </w:r>
    </w:p>
    <w:p w14:paraId="6834E87D" w14:textId="77777777" w:rsidR="0042015E" w:rsidRPr="00B07A52" w:rsidRDefault="0042015E" w:rsidP="0042015E"/>
    <w:p w14:paraId="242714B8" w14:textId="7C9C93BA" w:rsidR="0092306E" w:rsidRDefault="0042015E" w:rsidP="0042015E">
      <w:pPr>
        <w:pStyle w:val="FSBullet1"/>
      </w:pPr>
      <w:r w:rsidRPr="00B07A52">
        <w:t>determine whether the proposed purpose is a solely technological purpose (function) and that the enzyme achieves its technological purpose as a processing aid in the quantity and form proposed to be used</w:t>
      </w:r>
      <w:r w:rsidR="00B57B66">
        <w:t xml:space="preserve">, and </w:t>
      </w:r>
    </w:p>
    <w:p w14:paraId="34E165F5" w14:textId="3AE2A6D5" w:rsidR="00B07A52" w:rsidRPr="00B07A52" w:rsidRDefault="00B07A52" w:rsidP="00B07A52">
      <w:pPr>
        <w:rPr>
          <w:lang w:bidi="ar-SA"/>
        </w:rPr>
      </w:pPr>
    </w:p>
    <w:p w14:paraId="23A156D2" w14:textId="77777777" w:rsidR="0042015E" w:rsidRPr="00B07A52" w:rsidRDefault="0042015E" w:rsidP="0042015E">
      <w:pPr>
        <w:pStyle w:val="FSBullet1"/>
      </w:pPr>
      <w:r w:rsidRPr="00B07A52">
        <w:t>evaluate potential public health and safety issues that may arise from the use of this enzyme, produced by a genetically modified organism, as a processing aid, specifically by considering the:</w:t>
      </w:r>
    </w:p>
    <w:p w14:paraId="7F8C8C27" w14:textId="77777777" w:rsidR="0042015E" w:rsidRPr="00507766" w:rsidRDefault="0042015E" w:rsidP="0042015E">
      <w:pPr>
        <w:pStyle w:val="FSBullet2"/>
      </w:pPr>
      <w:r w:rsidRPr="00507766">
        <w:t>history of use of the host and gene donor organisms</w:t>
      </w:r>
    </w:p>
    <w:p w14:paraId="4DE9BA84" w14:textId="77777777" w:rsidR="0042015E" w:rsidRPr="00B07A52" w:rsidRDefault="0042015E" w:rsidP="0042015E">
      <w:pPr>
        <w:pStyle w:val="FSBullet2"/>
      </w:pPr>
      <w:r w:rsidRPr="00B07A52">
        <w:t>characterisation of the genetic modification(s)</w:t>
      </w:r>
    </w:p>
    <w:p w14:paraId="1AA527A8" w14:textId="77777777" w:rsidR="0042015E" w:rsidRPr="00B07A52" w:rsidRDefault="0042015E" w:rsidP="0042015E">
      <w:pPr>
        <w:pStyle w:val="FSBullet2"/>
      </w:pPr>
      <w:r w:rsidRPr="00B07A52">
        <w:t>safety of the enzyme.</w:t>
      </w:r>
    </w:p>
    <w:p w14:paraId="06AA3AB5" w14:textId="7265F34A" w:rsidR="0008655E" w:rsidRDefault="0008655E" w:rsidP="0008655E">
      <w:pPr>
        <w:pStyle w:val="Heading1"/>
      </w:pPr>
      <w:bookmarkStart w:id="29" w:name="_Toc99464547"/>
      <w:bookmarkStart w:id="30" w:name="_Toc99458044"/>
      <w:bookmarkStart w:id="31" w:name="_Toc103671968"/>
      <w:r>
        <w:t>2</w:t>
      </w:r>
      <w:r>
        <w:tab/>
        <w:t>Food technology assessment</w:t>
      </w:r>
      <w:bookmarkEnd w:id="16"/>
      <w:bookmarkEnd w:id="17"/>
      <w:bookmarkEnd w:id="18"/>
      <w:bookmarkEnd w:id="19"/>
      <w:bookmarkEnd w:id="20"/>
      <w:bookmarkEnd w:id="21"/>
      <w:bookmarkEnd w:id="29"/>
      <w:bookmarkEnd w:id="30"/>
      <w:bookmarkEnd w:id="31"/>
    </w:p>
    <w:p w14:paraId="33175CBD" w14:textId="03D75EAF" w:rsidR="0067248B" w:rsidRPr="008D5EB8" w:rsidRDefault="0067248B" w:rsidP="008D5EB8">
      <w:pPr>
        <w:pStyle w:val="Heading2"/>
      </w:pPr>
      <w:bookmarkStart w:id="32" w:name="_Toc472327044"/>
      <w:bookmarkStart w:id="33" w:name="_Toc501699819"/>
      <w:bookmarkStart w:id="34" w:name="_Toc67559425"/>
      <w:bookmarkStart w:id="35" w:name="_Toc75789512"/>
      <w:bookmarkStart w:id="36" w:name="_Toc76390761"/>
      <w:bookmarkStart w:id="37" w:name="_Toc95987200"/>
      <w:bookmarkStart w:id="38" w:name="_Toc99464548"/>
      <w:bookmarkStart w:id="39" w:name="_Toc99458045"/>
      <w:bookmarkStart w:id="40" w:name="_Toc103671969"/>
      <w:r w:rsidRPr="001D1FB4">
        <w:t>2.1</w:t>
      </w:r>
      <w:r w:rsidRPr="001D1FB4">
        <w:tab/>
      </w:r>
      <w:bookmarkEnd w:id="32"/>
      <w:bookmarkEnd w:id="33"/>
      <w:bookmarkEnd w:id="34"/>
      <w:bookmarkEnd w:id="35"/>
      <w:bookmarkEnd w:id="36"/>
      <w:bookmarkEnd w:id="37"/>
      <w:r w:rsidR="006842E6">
        <w:t xml:space="preserve">Characterisation of the </w:t>
      </w:r>
      <w:r w:rsidR="00DC05D8">
        <w:t>enzyme</w:t>
      </w:r>
      <w:bookmarkEnd w:id="38"/>
      <w:bookmarkEnd w:id="39"/>
      <w:bookmarkEnd w:id="40"/>
    </w:p>
    <w:p w14:paraId="43ECFBB4" w14:textId="5D221735" w:rsidR="00FE3E8F" w:rsidRDefault="00FE3E8F" w:rsidP="00FC50C3">
      <w:pPr>
        <w:pStyle w:val="Heading3"/>
      </w:pPr>
      <w:bookmarkStart w:id="41" w:name="_Toc536543988"/>
      <w:bookmarkStart w:id="42" w:name="_Toc536607123"/>
      <w:bookmarkStart w:id="43" w:name="_Toc30154595"/>
      <w:bookmarkStart w:id="44" w:name="_Toc85204758"/>
      <w:bookmarkStart w:id="45" w:name="_Toc85211320"/>
      <w:bookmarkStart w:id="46" w:name="_Toc87259295"/>
      <w:bookmarkStart w:id="47" w:name="_Toc99464549"/>
      <w:bookmarkStart w:id="48" w:name="_Toc99458046"/>
      <w:bookmarkStart w:id="49" w:name="_Toc103671970"/>
      <w:r>
        <w:t>2.1.1</w:t>
      </w:r>
      <w:r>
        <w:tab/>
        <w:t>Identity of the enzyme</w:t>
      </w:r>
      <w:bookmarkEnd w:id="41"/>
      <w:bookmarkEnd w:id="42"/>
      <w:bookmarkEnd w:id="43"/>
      <w:bookmarkEnd w:id="44"/>
      <w:bookmarkEnd w:id="45"/>
      <w:bookmarkEnd w:id="46"/>
      <w:bookmarkEnd w:id="47"/>
      <w:bookmarkEnd w:id="48"/>
      <w:bookmarkEnd w:id="49"/>
    </w:p>
    <w:p w14:paraId="6A91203C" w14:textId="389E82FA" w:rsidR="004A4290" w:rsidRDefault="00BF427E" w:rsidP="00921D89">
      <w:pPr>
        <w:rPr>
          <w:rFonts w:eastAsia="Calibri" w:cs="Arial"/>
          <w:b/>
          <w:i/>
          <w:lang w:bidi="ar-SA"/>
        </w:rPr>
      </w:pPr>
      <w:r w:rsidRPr="00DC06C8">
        <w:rPr>
          <w:rFonts w:ascii="CIDFont+F1" w:eastAsia="Calibri" w:hAnsi="CIDFont+F1" w:cs="CIDFont+F1"/>
          <w:szCs w:val="22"/>
          <w:lang w:bidi="ar-SA"/>
        </w:rPr>
        <w:t xml:space="preserve">The production microorganism of the enzyme is a GM strain of </w:t>
      </w:r>
      <w:r>
        <w:rPr>
          <w:rFonts w:ascii="CIDFont+F1" w:eastAsia="Calibri" w:hAnsi="CIDFont+F1" w:cs="CIDFont+F1"/>
          <w:i/>
          <w:szCs w:val="22"/>
          <w:lang w:bidi="ar-SA"/>
        </w:rPr>
        <w:t>A</w:t>
      </w:r>
      <w:r w:rsidRPr="00DC06C8">
        <w:rPr>
          <w:rFonts w:ascii="CIDFont+F1" w:eastAsia="Calibri" w:hAnsi="CIDFont+F1" w:cs="CIDFont+F1"/>
          <w:i/>
          <w:szCs w:val="22"/>
          <w:lang w:bidi="ar-SA"/>
        </w:rPr>
        <w:t xml:space="preserve">. </w:t>
      </w:r>
      <w:r>
        <w:rPr>
          <w:rFonts w:ascii="CIDFont+F1" w:eastAsia="Calibri" w:hAnsi="CIDFont+F1" w:cs="CIDFont+F1"/>
          <w:i/>
          <w:szCs w:val="22"/>
          <w:lang w:bidi="ar-SA"/>
        </w:rPr>
        <w:t>oryzae</w:t>
      </w:r>
      <w:r w:rsidRPr="00DC06C8">
        <w:rPr>
          <w:rFonts w:ascii="CIDFont+F1" w:eastAsia="Calibri" w:hAnsi="CIDFont+F1" w:cs="CIDFont+F1"/>
          <w:szCs w:val="22"/>
          <w:lang w:bidi="ar-SA"/>
        </w:rPr>
        <w:t xml:space="preserve">. The donor microorganism of the </w:t>
      </w:r>
      <w:r w:rsidR="0017450C">
        <w:rPr>
          <w:rFonts w:ascii="CIDFont+F1" w:eastAsia="Calibri" w:hAnsi="CIDFont+F1" w:cs="CIDFont+F1"/>
          <w:szCs w:val="22"/>
          <w:lang w:bidi="ar-SA"/>
        </w:rPr>
        <w:t>polyg</w:t>
      </w:r>
      <w:r>
        <w:rPr>
          <w:rFonts w:ascii="CIDFont+F1" w:eastAsia="Calibri" w:hAnsi="CIDFont+F1" w:cs="CIDFont+F1"/>
          <w:szCs w:val="22"/>
          <w:lang w:bidi="ar-SA"/>
        </w:rPr>
        <w:t>alacturonase</w:t>
      </w:r>
      <w:r w:rsidRPr="00DC06C8">
        <w:t xml:space="preserve"> gene is </w:t>
      </w:r>
      <w:r>
        <w:rPr>
          <w:i/>
        </w:rPr>
        <w:t>A</w:t>
      </w:r>
      <w:r w:rsidRPr="00DC06C8">
        <w:rPr>
          <w:i/>
        </w:rPr>
        <w:t xml:space="preserve">. </w:t>
      </w:r>
      <w:r>
        <w:rPr>
          <w:i/>
        </w:rPr>
        <w:t>tubingensis</w:t>
      </w:r>
      <w:r w:rsidRPr="00DC06C8">
        <w:rPr>
          <w:i/>
        </w:rPr>
        <w:t xml:space="preserve"> </w:t>
      </w:r>
      <w:r w:rsidRPr="00DC06C8">
        <w:t>(further details contained in section 3)</w:t>
      </w:r>
      <w:r w:rsidRPr="00DC06C8">
        <w:rPr>
          <w:rFonts w:ascii="CIDFont+F1" w:eastAsia="Calibri" w:hAnsi="CIDFont+F1" w:cs="CIDFont+F1"/>
          <w:szCs w:val="22"/>
          <w:lang w:bidi="ar-SA"/>
        </w:rPr>
        <w:t>.</w:t>
      </w:r>
      <w:r w:rsidR="00B57B66">
        <w:rPr>
          <w:rFonts w:ascii="CIDFont+F1" w:eastAsia="Calibri" w:hAnsi="CIDFont+F1" w:cs="CIDFont+F1"/>
          <w:szCs w:val="22"/>
          <w:lang w:bidi="ar-SA"/>
        </w:rPr>
        <w:t xml:space="preserve"> </w:t>
      </w:r>
      <w:r w:rsidR="00B57B66" w:rsidRPr="00B07A52">
        <w:t xml:space="preserve">The applicant provided relevant information regarding the identity of the </w:t>
      </w:r>
      <w:r w:rsidR="0017450C">
        <w:rPr>
          <w:sz w:val="23"/>
          <w:szCs w:val="23"/>
        </w:rPr>
        <w:t>polyg</w:t>
      </w:r>
      <w:r w:rsidR="00B57B66" w:rsidRPr="00B07A52">
        <w:rPr>
          <w:sz w:val="23"/>
          <w:szCs w:val="23"/>
        </w:rPr>
        <w:t xml:space="preserve">alacturonase </w:t>
      </w:r>
      <w:r w:rsidR="00B57B66" w:rsidRPr="00B07A52">
        <w:t xml:space="preserve">enzyme. FSANZ verified this using </w:t>
      </w:r>
      <w:r w:rsidR="00994F4B">
        <w:t>the IUBMB</w:t>
      </w:r>
      <w:r w:rsidR="00994F4B">
        <w:rPr>
          <w:rStyle w:val="FootnoteReference"/>
        </w:rPr>
        <w:footnoteReference w:id="3"/>
      </w:r>
      <w:r w:rsidR="00B57B66" w:rsidRPr="00B07A52">
        <w:t xml:space="preserve"> enzyme nomenclature </w:t>
      </w:r>
      <w:r w:rsidR="00994F4B">
        <w:t xml:space="preserve">database </w:t>
      </w:r>
      <w:r w:rsidR="00B57B66" w:rsidRPr="00B07A52">
        <w:t>(</w:t>
      </w:r>
      <w:r w:rsidR="00994F4B">
        <w:t>McDonald et al 2009</w:t>
      </w:r>
      <w:r w:rsidR="00D82B96">
        <w:t>)</w:t>
      </w:r>
      <w:r w:rsidR="00B57B66">
        <w:t xml:space="preserve">. </w:t>
      </w:r>
      <w:r w:rsidR="00B57B66" w:rsidRPr="00A52764">
        <w:rPr>
          <w:rFonts w:eastAsia="Calibri"/>
          <w:lang w:bidi="ar-SA"/>
        </w:rPr>
        <w:t>Details of the identity of the e</w:t>
      </w:r>
      <w:r w:rsidR="00560E57">
        <w:rPr>
          <w:rFonts w:eastAsia="Calibri"/>
          <w:lang w:bidi="ar-SA"/>
        </w:rPr>
        <w:t>nzyme are provided in Table </w:t>
      </w:r>
      <w:r w:rsidR="00B57B66" w:rsidRPr="00A52764">
        <w:rPr>
          <w:rFonts w:eastAsia="Calibri"/>
          <w:lang w:bidi="ar-SA"/>
        </w:rPr>
        <w:t>1.</w:t>
      </w:r>
      <w:r w:rsidR="004A4290">
        <w:rPr>
          <w:rFonts w:eastAsia="Calibri" w:cs="Arial"/>
          <w:b/>
          <w:i/>
          <w:lang w:bidi="ar-SA"/>
        </w:rPr>
        <w:br w:type="page"/>
      </w:r>
    </w:p>
    <w:p w14:paraId="563C7EF5" w14:textId="545561AE" w:rsidR="00B57B66" w:rsidRDefault="00B57B66" w:rsidP="00B57B66">
      <w:pPr>
        <w:rPr>
          <w:rFonts w:eastAsia="Calibri" w:cs="Arial"/>
          <w:lang w:bidi="ar-SA"/>
        </w:rPr>
      </w:pPr>
      <w:r w:rsidRPr="00484654">
        <w:rPr>
          <w:rFonts w:eastAsia="Calibri" w:cs="Arial"/>
          <w:b/>
          <w:i/>
          <w:lang w:bidi="ar-SA"/>
        </w:rPr>
        <w:lastRenderedPageBreak/>
        <w:t>Table 1</w:t>
      </w:r>
      <w:r>
        <w:rPr>
          <w:rFonts w:eastAsia="Calibri" w:cs="Arial"/>
          <w:b/>
          <w:lang w:bidi="ar-SA"/>
        </w:rPr>
        <w:tab/>
      </w:r>
      <w:r w:rsidRPr="00484654">
        <w:rPr>
          <w:rFonts w:eastAsia="Calibri" w:cs="Arial"/>
          <w:lang w:bidi="ar-SA"/>
        </w:rPr>
        <w:t>Identity</w:t>
      </w:r>
    </w:p>
    <w:p w14:paraId="1860D28A" w14:textId="77777777" w:rsidR="00DC05D8" w:rsidRPr="001D1FB4" w:rsidRDefault="00DC05D8" w:rsidP="00DC05D8"/>
    <w:tbl>
      <w:tblPr>
        <w:tblStyle w:val="TableGrid31"/>
        <w:tblW w:w="0" w:type="auto"/>
        <w:tblLook w:val="04A0" w:firstRow="1" w:lastRow="0" w:firstColumn="1" w:lastColumn="0" w:noHBand="0" w:noVBand="1"/>
        <w:tblCaption w:val="Table 1"/>
        <w:tblDescription w:val="Identity and relevant details of the enzyme maltogenic alpha-amylase."/>
      </w:tblPr>
      <w:tblGrid>
        <w:gridCol w:w="2689"/>
        <w:gridCol w:w="6371"/>
      </w:tblGrid>
      <w:tr w:rsidR="00DC05D8" w:rsidRPr="001D1FB4" w14:paraId="2E3E9B9C" w14:textId="77777777" w:rsidTr="00B07A52">
        <w:tc>
          <w:tcPr>
            <w:tcW w:w="2689" w:type="dxa"/>
          </w:tcPr>
          <w:p w14:paraId="5579A803" w14:textId="77777777" w:rsidR="00DC05D8" w:rsidRPr="001D1FB4" w:rsidRDefault="00DC05D8" w:rsidP="00B07A52">
            <w:pPr>
              <w:spacing w:before="120" w:after="120"/>
              <w:rPr>
                <w:b/>
                <w:i/>
              </w:rPr>
            </w:pPr>
            <w:r w:rsidRPr="001D1FB4">
              <w:rPr>
                <w:b/>
                <w:i/>
              </w:rPr>
              <w:t>Generic common name:</w:t>
            </w:r>
          </w:p>
        </w:tc>
        <w:tc>
          <w:tcPr>
            <w:tcW w:w="6371" w:type="dxa"/>
          </w:tcPr>
          <w:p w14:paraId="372F578D" w14:textId="77777777" w:rsidR="00DC05D8" w:rsidRPr="001D1FB4" w:rsidRDefault="00DC05D8" w:rsidP="00B07A52">
            <w:pPr>
              <w:spacing w:before="120" w:after="120"/>
            </w:pPr>
            <w:r>
              <w:t>Polygalacturonase</w:t>
            </w:r>
          </w:p>
        </w:tc>
      </w:tr>
      <w:tr w:rsidR="00DC05D8" w:rsidRPr="001D1FB4" w14:paraId="05E1D8EC" w14:textId="77777777" w:rsidTr="00B07A52">
        <w:tc>
          <w:tcPr>
            <w:tcW w:w="2689" w:type="dxa"/>
          </w:tcPr>
          <w:p w14:paraId="32E46BEA" w14:textId="2F2E7922" w:rsidR="00DC05D8" w:rsidRPr="001D1FB4" w:rsidRDefault="00DC05D8" w:rsidP="00994F4B">
            <w:pPr>
              <w:spacing w:before="120" w:after="120"/>
              <w:rPr>
                <w:b/>
                <w:i/>
              </w:rPr>
            </w:pPr>
            <w:r w:rsidRPr="001D1FB4">
              <w:rPr>
                <w:b/>
                <w:i/>
              </w:rPr>
              <w:t>Accepted IUBMB name:</w:t>
            </w:r>
          </w:p>
        </w:tc>
        <w:tc>
          <w:tcPr>
            <w:tcW w:w="6371" w:type="dxa"/>
          </w:tcPr>
          <w:p w14:paraId="000CCB5A" w14:textId="77777777" w:rsidR="00DC05D8" w:rsidRPr="001D1FB4" w:rsidRDefault="00DC05D8" w:rsidP="00B07A52">
            <w:pPr>
              <w:spacing w:before="120" w:after="120"/>
            </w:pPr>
            <w:r>
              <w:t>Endo-polygalacturonase</w:t>
            </w:r>
          </w:p>
        </w:tc>
      </w:tr>
      <w:tr w:rsidR="00DC05D8" w:rsidRPr="001D1FB4" w14:paraId="56381BA6" w14:textId="77777777" w:rsidTr="00B07A52">
        <w:tc>
          <w:tcPr>
            <w:tcW w:w="2689" w:type="dxa"/>
          </w:tcPr>
          <w:p w14:paraId="444B8311" w14:textId="77777777" w:rsidR="00DC05D8" w:rsidRPr="001D1FB4" w:rsidRDefault="00DC05D8" w:rsidP="00B07A52">
            <w:pPr>
              <w:spacing w:before="120" w:after="120"/>
              <w:rPr>
                <w:b/>
                <w:i/>
              </w:rPr>
            </w:pPr>
            <w:r w:rsidRPr="00BC1815">
              <w:rPr>
                <w:b/>
                <w:i/>
              </w:rPr>
              <w:t>Systematic name:</w:t>
            </w:r>
          </w:p>
        </w:tc>
        <w:tc>
          <w:tcPr>
            <w:tcW w:w="6371" w:type="dxa"/>
          </w:tcPr>
          <w:p w14:paraId="1FF0068D" w14:textId="77777777" w:rsidR="00DC05D8" w:rsidRPr="001D1FB4" w:rsidRDefault="00DC05D8" w:rsidP="00B07A52">
            <w:pPr>
              <w:spacing w:before="120" w:after="120"/>
            </w:pPr>
            <w:r>
              <w:t>(1→4)-α-</w:t>
            </w:r>
            <w:r>
              <w:rPr>
                <w:sz w:val="20"/>
                <w:szCs w:val="20"/>
              </w:rPr>
              <w:t>D</w:t>
            </w:r>
            <w:r>
              <w:t>-galacturonan glycanohydrolase (endo-cleaving)</w:t>
            </w:r>
          </w:p>
        </w:tc>
      </w:tr>
      <w:tr w:rsidR="00DC05D8" w:rsidRPr="001D1FB4" w14:paraId="2F2E749E" w14:textId="77777777" w:rsidTr="00B07A52">
        <w:tc>
          <w:tcPr>
            <w:tcW w:w="2689" w:type="dxa"/>
          </w:tcPr>
          <w:p w14:paraId="418993A2" w14:textId="77777777" w:rsidR="00DC05D8" w:rsidRPr="001D1FB4" w:rsidRDefault="00DC05D8" w:rsidP="00B07A52">
            <w:pPr>
              <w:spacing w:before="120" w:after="120"/>
              <w:rPr>
                <w:b/>
                <w:i/>
              </w:rPr>
            </w:pPr>
            <w:r w:rsidRPr="001D1FB4">
              <w:rPr>
                <w:b/>
                <w:i/>
              </w:rPr>
              <w:t>Other names:</w:t>
            </w:r>
            <w:r w:rsidRPr="001D1FB4">
              <w:rPr>
                <w:b/>
                <w:i/>
              </w:rPr>
              <w:tab/>
            </w:r>
          </w:p>
        </w:tc>
        <w:tc>
          <w:tcPr>
            <w:tcW w:w="6371" w:type="dxa"/>
          </w:tcPr>
          <w:p w14:paraId="55F19002" w14:textId="5AC0D808" w:rsidR="00DC05D8" w:rsidRPr="001D1FB4" w:rsidRDefault="00DC05D8" w:rsidP="00B07A52">
            <w:pPr>
              <w:spacing w:before="120" w:after="120"/>
            </w:pPr>
            <w:r>
              <w:t xml:space="preserve">Endopolygalacturonase, </w:t>
            </w:r>
            <w:r w:rsidR="00A57C62">
              <w:t>Endogalacturonase; E</w:t>
            </w:r>
            <w:r>
              <w:t>ndo-</w:t>
            </w:r>
            <w:r>
              <w:rPr>
                <w:sz w:val="20"/>
                <w:szCs w:val="20"/>
              </w:rPr>
              <w:t>D</w:t>
            </w:r>
            <w:r>
              <w:t xml:space="preserve">-galacturonase; </w:t>
            </w:r>
          </w:p>
        </w:tc>
      </w:tr>
      <w:tr w:rsidR="00DC05D8" w:rsidRPr="001D1FB4" w14:paraId="3E79AF29" w14:textId="77777777" w:rsidTr="00B07A52">
        <w:tc>
          <w:tcPr>
            <w:tcW w:w="2689" w:type="dxa"/>
          </w:tcPr>
          <w:p w14:paraId="243CADB6" w14:textId="77777777" w:rsidR="00DC05D8" w:rsidRPr="001D1FB4" w:rsidRDefault="00DC05D8" w:rsidP="00B07A52">
            <w:pPr>
              <w:spacing w:before="120" w:after="120"/>
              <w:rPr>
                <w:b/>
                <w:i/>
              </w:rPr>
            </w:pPr>
            <w:r w:rsidRPr="001D1FB4">
              <w:rPr>
                <w:b/>
                <w:i/>
              </w:rPr>
              <w:t>EC number:</w:t>
            </w:r>
            <w:r w:rsidRPr="001D1FB4">
              <w:rPr>
                <w:b/>
                <w:i/>
              </w:rPr>
              <w:tab/>
            </w:r>
          </w:p>
        </w:tc>
        <w:tc>
          <w:tcPr>
            <w:tcW w:w="6371" w:type="dxa"/>
          </w:tcPr>
          <w:p w14:paraId="46E0F090" w14:textId="77777777" w:rsidR="00DC05D8" w:rsidRPr="001D1FB4" w:rsidRDefault="00DC05D8" w:rsidP="00B07A52">
            <w:pPr>
              <w:spacing w:before="120" w:after="120"/>
            </w:pPr>
            <w:r w:rsidRPr="00B06994">
              <w:t>3.</w:t>
            </w:r>
            <w:r>
              <w:t>2.1.15</w:t>
            </w:r>
          </w:p>
        </w:tc>
      </w:tr>
      <w:tr w:rsidR="00DC05D8" w:rsidRPr="001D1FB4" w14:paraId="2CEBE864" w14:textId="77777777" w:rsidTr="00B07A52">
        <w:tc>
          <w:tcPr>
            <w:tcW w:w="2689" w:type="dxa"/>
          </w:tcPr>
          <w:p w14:paraId="5D41927B" w14:textId="77777777" w:rsidR="00DC05D8" w:rsidRPr="001D1FB4" w:rsidRDefault="00DC05D8" w:rsidP="00B07A52">
            <w:pPr>
              <w:spacing w:before="120" w:after="120"/>
              <w:rPr>
                <w:b/>
                <w:i/>
              </w:rPr>
            </w:pPr>
            <w:r w:rsidRPr="001D1FB4">
              <w:rPr>
                <w:b/>
                <w:i/>
              </w:rPr>
              <w:t>Reaction:</w:t>
            </w:r>
          </w:p>
        </w:tc>
        <w:tc>
          <w:tcPr>
            <w:tcW w:w="6371" w:type="dxa"/>
          </w:tcPr>
          <w:p w14:paraId="379D69AD" w14:textId="77777777" w:rsidR="00DC05D8" w:rsidRPr="001D1FB4" w:rsidRDefault="00DC05D8" w:rsidP="00B07A52">
            <w:pPr>
              <w:spacing w:before="120" w:after="120"/>
            </w:pPr>
            <w:r>
              <w:t>(1,4-α-</w:t>
            </w:r>
            <w:r>
              <w:rPr>
                <w:sz w:val="20"/>
                <w:szCs w:val="20"/>
              </w:rPr>
              <w:t>D</w:t>
            </w:r>
            <w:r>
              <w:t>-galacturonosyl)</w:t>
            </w:r>
            <w:r>
              <w:rPr>
                <w:i/>
                <w:iCs/>
                <w:sz w:val="20"/>
                <w:szCs w:val="20"/>
                <w:vertAlign w:val="subscript"/>
              </w:rPr>
              <w:t>n</w:t>
            </w:r>
            <w:r>
              <w:rPr>
                <w:sz w:val="20"/>
                <w:szCs w:val="20"/>
                <w:vertAlign w:val="subscript"/>
              </w:rPr>
              <w:t>+</w:t>
            </w:r>
            <w:r>
              <w:rPr>
                <w:i/>
                <w:iCs/>
                <w:sz w:val="20"/>
                <w:szCs w:val="20"/>
                <w:vertAlign w:val="subscript"/>
              </w:rPr>
              <w:t>m</w:t>
            </w:r>
            <w:r>
              <w:t xml:space="preserve"> + H</w:t>
            </w:r>
            <w:r>
              <w:rPr>
                <w:sz w:val="20"/>
                <w:szCs w:val="20"/>
                <w:vertAlign w:val="subscript"/>
              </w:rPr>
              <w:t>2</w:t>
            </w:r>
            <w:r>
              <w:t>O = (1,4-α-</w:t>
            </w:r>
            <w:r>
              <w:rPr>
                <w:sz w:val="20"/>
                <w:szCs w:val="20"/>
              </w:rPr>
              <w:t>D</w:t>
            </w:r>
            <w:r>
              <w:t>-galacturonosyl)</w:t>
            </w:r>
            <w:r>
              <w:rPr>
                <w:i/>
                <w:iCs/>
                <w:sz w:val="20"/>
                <w:szCs w:val="20"/>
                <w:vertAlign w:val="subscript"/>
              </w:rPr>
              <w:t>n</w:t>
            </w:r>
            <w:r>
              <w:t xml:space="preserve"> + (1,4-α-</w:t>
            </w:r>
            <w:r>
              <w:rPr>
                <w:sz w:val="20"/>
                <w:szCs w:val="20"/>
              </w:rPr>
              <w:t>D</w:t>
            </w:r>
            <w:r>
              <w:t>-galacturonosyl)</w:t>
            </w:r>
            <w:r>
              <w:rPr>
                <w:i/>
                <w:iCs/>
                <w:sz w:val="20"/>
                <w:szCs w:val="20"/>
                <w:vertAlign w:val="subscript"/>
              </w:rPr>
              <w:t>m</w:t>
            </w:r>
          </w:p>
        </w:tc>
      </w:tr>
    </w:tbl>
    <w:p w14:paraId="57994333" w14:textId="0A6A3ABC" w:rsidR="00BE01FA" w:rsidRDefault="00BE01FA" w:rsidP="00BE01FA">
      <w:pPr>
        <w:rPr>
          <w:lang w:eastAsia="en-AU" w:bidi="ar-SA"/>
        </w:rPr>
      </w:pPr>
      <w:bookmarkStart w:id="50" w:name="_Toc95987201"/>
    </w:p>
    <w:p w14:paraId="3CAE557F" w14:textId="50AFF091" w:rsidR="00441F31" w:rsidRPr="000E6D92" w:rsidRDefault="00994F4B" w:rsidP="000E6D92">
      <w:pPr>
        <w:widowControl/>
        <w:autoSpaceDE w:val="0"/>
        <w:autoSpaceDN w:val="0"/>
        <w:adjustRightInd w:val="0"/>
        <w:rPr>
          <w:szCs w:val="22"/>
          <w:lang w:eastAsia="en-AU" w:bidi="ar-SA"/>
        </w:rPr>
      </w:pPr>
      <w:r>
        <w:rPr>
          <w:szCs w:val="22"/>
        </w:rPr>
        <w:t>For a</w:t>
      </w:r>
      <w:r w:rsidR="000E6D92" w:rsidRPr="000E6D92">
        <w:rPr>
          <w:szCs w:val="22"/>
        </w:rPr>
        <w:t xml:space="preserve"> </w:t>
      </w:r>
      <w:r>
        <w:rPr>
          <w:szCs w:val="22"/>
        </w:rPr>
        <w:t xml:space="preserve">graphical </w:t>
      </w:r>
      <w:r w:rsidR="000E6D92" w:rsidRPr="000E6D92">
        <w:rPr>
          <w:szCs w:val="22"/>
        </w:rPr>
        <w:t xml:space="preserve">representation of the hydrolysis reaction </w:t>
      </w:r>
      <w:r w:rsidR="00216661" w:rsidRPr="000E6D92">
        <w:rPr>
          <w:szCs w:val="22"/>
          <w:lang w:eastAsia="en-AU" w:bidi="ar-SA"/>
        </w:rPr>
        <w:t xml:space="preserve">catalysed by </w:t>
      </w:r>
      <w:r w:rsidR="0017450C">
        <w:rPr>
          <w:szCs w:val="22"/>
          <w:lang w:eastAsia="en-AU" w:bidi="ar-SA"/>
        </w:rPr>
        <w:t>polyg</w:t>
      </w:r>
      <w:r w:rsidR="00216661" w:rsidRPr="000E6D92">
        <w:rPr>
          <w:szCs w:val="22"/>
          <w:lang w:eastAsia="en-AU" w:bidi="ar-SA"/>
        </w:rPr>
        <w:t>alacturonase</w:t>
      </w:r>
      <w:r w:rsidR="000E6D92" w:rsidRPr="000E6D92">
        <w:rPr>
          <w:szCs w:val="22"/>
          <w:lang w:eastAsia="en-AU" w:bidi="ar-SA"/>
        </w:rPr>
        <w:t>, refer to</w:t>
      </w:r>
      <w:r w:rsidR="009A1F8E">
        <w:rPr>
          <w:szCs w:val="22"/>
          <w:lang w:eastAsia="en-AU" w:bidi="ar-SA"/>
        </w:rPr>
        <w:t xml:space="preserve"> its record in</w:t>
      </w:r>
      <w:r>
        <w:rPr>
          <w:szCs w:val="22"/>
          <w:lang w:eastAsia="en-AU" w:bidi="ar-SA"/>
        </w:rPr>
        <w:t xml:space="preserve"> the enzyme database</w:t>
      </w:r>
      <w:r w:rsidR="000E6D92" w:rsidRPr="000E6D92">
        <w:rPr>
          <w:szCs w:val="22"/>
          <w:lang w:eastAsia="en-AU" w:bidi="ar-SA"/>
        </w:rPr>
        <w:t xml:space="preserve"> BRENDA</w:t>
      </w:r>
      <w:r>
        <w:rPr>
          <w:rStyle w:val="FootnoteReference"/>
          <w:szCs w:val="22"/>
          <w:lang w:eastAsia="en-AU" w:bidi="ar-SA"/>
        </w:rPr>
        <w:footnoteReference w:id="4"/>
      </w:r>
      <w:r>
        <w:rPr>
          <w:szCs w:val="22"/>
          <w:lang w:eastAsia="en-AU" w:bidi="ar-SA"/>
        </w:rPr>
        <w:t xml:space="preserve"> (Chang et al 2021)</w:t>
      </w:r>
      <w:r w:rsidR="000E6D92" w:rsidRPr="000E6D92">
        <w:rPr>
          <w:szCs w:val="22"/>
          <w:lang w:eastAsia="en-AU" w:bidi="ar-SA"/>
        </w:rPr>
        <w:t>.</w:t>
      </w:r>
    </w:p>
    <w:p w14:paraId="6984D815" w14:textId="7A4BDF89" w:rsidR="002F196D" w:rsidRPr="008D5EB8" w:rsidRDefault="002F196D" w:rsidP="008D5EB8">
      <w:pPr>
        <w:pStyle w:val="Heading2"/>
      </w:pPr>
      <w:bookmarkStart w:id="51" w:name="_Toc67559427"/>
      <w:bookmarkStart w:id="52" w:name="_Toc75789513"/>
      <w:bookmarkStart w:id="53" w:name="_Toc76390762"/>
      <w:bookmarkStart w:id="54" w:name="_Toc95987203"/>
      <w:bookmarkStart w:id="55" w:name="_Toc103671971"/>
      <w:r w:rsidRPr="001D1FB4">
        <w:t>2.2</w:t>
      </w:r>
      <w:r w:rsidRPr="001D1FB4">
        <w:tab/>
        <w:t>Manufacturing process</w:t>
      </w:r>
      <w:bookmarkEnd w:id="51"/>
      <w:bookmarkEnd w:id="52"/>
      <w:bookmarkEnd w:id="53"/>
      <w:bookmarkEnd w:id="54"/>
      <w:bookmarkEnd w:id="55"/>
    </w:p>
    <w:p w14:paraId="286299C9" w14:textId="77777777" w:rsidR="002F196D" w:rsidRPr="00A63543" w:rsidRDefault="002F196D" w:rsidP="00A63543">
      <w:pPr>
        <w:pStyle w:val="Heading3"/>
      </w:pPr>
      <w:bookmarkStart w:id="56" w:name="_Toc67559428"/>
      <w:bookmarkStart w:id="57" w:name="_Toc95987204"/>
      <w:bookmarkStart w:id="58" w:name="_Toc99464550"/>
      <w:bookmarkStart w:id="59" w:name="_Toc99458047"/>
      <w:bookmarkStart w:id="60" w:name="_Toc103671972"/>
      <w:r w:rsidRPr="00A63543">
        <w:t>2.2.1</w:t>
      </w:r>
      <w:r w:rsidRPr="00A63543">
        <w:tab/>
        <w:t>Production of the enzyme</w:t>
      </w:r>
      <w:bookmarkEnd w:id="56"/>
      <w:bookmarkEnd w:id="57"/>
      <w:bookmarkEnd w:id="58"/>
      <w:bookmarkEnd w:id="59"/>
      <w:bookmarkEnd w:id="60"/>
    </w:p>
    <w:p w14:paraId="7F36FE8D" w14:textId="1143BCEE" w:rsidR="0092306E" w:rsidRDefault="002F196D" w:rsidP="002F196D">
      <w:pPr>
        <w:rPr>
          <w:lang w:eastAsia="en-AU"/>
        </w:rPr>
      </w:pPr>
      <w:r w:rsidRPr="00E266D6">
        <w:rPr>
          <w:iCs/>
          <w:lang w:eastAsia="en-AU"/>
        </w:rPr>
        <w:t>A</w:t>
      </w:r>
      <w:r w:rsidRPr="00E266D6">
        <w:t>B Enzyme’s</w:t>
      </w:r>
      <w:r w:rsidR="00AD72D4">
        <w:rPr>
          <w:i/>
          <w:iCs/>
          <w:lang w:eastAsia="en-AU"/>
        </w:rPr>
        <w:t xml:space="preserve"> </w:t>
      </w:r>
      <w:r w:rsidR="0017450C">
        <w:t>polyg</w:t>
      </w:r>
      <w:r>
        <w:t>alacturonase</w:t>
      </w:r>
      <w:r w:rsidRPr="00E266D6">
        <w:rPr>
          <w:lang w:eastAsia="en-AU"/>
        </w:rPr>
        <w:t xml:space="preserve"> is produced by submerged fermentation </w:t>
      </w:r>
      <w:r>
        <w:rPr>
          <w:lang w:eastAsia="en-AU"/>
        </w:rPr>
        <w:t xml:space="preserve">of the genetically modified strain of </w:t>
      </w:r>
      <w:r w:rsidR="00704BDB" w:rsidRPr="00782EE9">
        <w:rPr>
          <w:i/>
          <w:lang w:eastAsia="en-AU"/>
        </w:rPr>
        <w:t>A</w:t>
      </w:r>
      <w:r w:rsidR="00704BDB">
        <w:rPr>
          <w:i/>
          <w:lang w:eastAsia="en-AU"/>
        </w:rPr>
        <w:t>.</w:t>
      </w:r>
      <w:r w:rsidR="00704BDB" w:rsidRPr="00782EE9">
        <w:rPr>
          <w:i/>
          <w:lang w:eastAsia="en-AU"/>
        </w:rPr>
        <w:t xml:space="preserve"> </w:t>
      </w:r>
      <w:r w:rsidRPr="00782EE9">
        <w:rPr>
          <w:i/>
          <w:lang w:eastAsia="en-AU"/>
        </w:rPr>
        <w:t>oryz</w:t>
      </w:r>
      <w:r>
        <w:rPr>
          <w:i/>
          <w:lang w:eastAsia="en-AU"/>
        </w:rPr>
        <w:t>a</w:t>
      </w:r>
      <w:r w:rsidRPr="00782EE9">
        <w:rPr>
          <w:i/>
          <w:lang w:eastAsia="en-AU"/>
        </w:rPr>
        <w:t>e</w:t>
      </w:r>
      <w:r>
        <w:rPr>
          <w:lang w:eastAsia="en-AU"/>
        </w:rPr>
        <w:t>.</w:t>
      </w:r>
      <w:r w:rsidRPr="00E266D6">
        <w:rPr>
          <w:lang w:eastAsia="en-AU"/>
        </w:rPr>
        <w:t xml:space="preserve"> The main fermentation steps are, inoculum, seed fermentation, main fermentation followed by the recovery stage involving primary and liquid separation, concentration to achieve the desired enzyme activity, polish and germ filtration to provide a concentrated enzyme solution free of the production strain and insoluble substances. </w:t>
      </w:r>
      <w:r w:rsidR="00F67BF7">
        <w:rPr>
          <w:lang w:eastAsia="en-AU"/>
        </w:rPr>
        <w:t xml:space="preserve">This is followed by </w:t>
      </w:r>
      <w:r w:rsidRPr="00E266D6">
        <w:rPr>
          <w:lang w:eastAsia="en-AU"/>
        </w:rPr>
        <w:t xml:space="preserve">formulation </w:t>
      </w:r>
      <w:r w:rsidR="00B57B66">
        <w:rPr>
          <w:lang w:eastAsia="en-AU"/>
        </w:rPr>
        <w:t xml:space="preserve">of the enzyme </w:t>
      </w:r>
      <w:r w:rsidR="00F67BF7">
        <w:rPr>
          <w:lang w:eastAsia="en-AU"/>
        </w:rPr>
        <w:t xml:space="preserve">into an enzyme </w:t>
      </w:r>
      <w:r w:rsidR="00B57B66">
        <w:rPr>
          <w:lang w:eastAsia="en-AU"/>
        </w:rPr>
        <w:t>preparation</w:t>
      </w:r>
      <w:r w:rsidR="00F67BF7">
        <w:rPr>
          <w:lang w:eastAsia="en-AU"/>
        </w:rPr>
        <w:t>.</w:t>
      </w:r>
      <w:r w:rsidR="006A5622">
        <w:rPr>
          <w:rStyle w:val="FootnoteReference"/>
          <w:lang w:eastAsia="en-AU"/>
        </w:rPr>
        <w:footnoteReference w:id="5"/>
      </w:r>
      <w:r w:rsidR="00F67BF7">
        <w:rPr>
          <w:lang w:eastAsia="en-AU"/>
        </w:rPr>
        <w:t xml:space="preserve"> AB Enzymes polygalacturonase enzyme preparation is sold mainly as a liquid product </w:t>
      </w:r>
      <w:r w:rsidR="006A5622">
        <w:rPr>
          <w:lang w:eastAsia="en-AU"/>
        </w:rPr>
        <w:t>consisting of glycerol, sodium chloride and water</w:t>
      </w:r>
      <w:r w:rsidRPr="00E266D6">
        <w:rPr>
          <w:lang w:eastAsia="en-AU"/>
        </w:rPr>
        <w:t>. A manufacturing flow-chart was provided as an Appendix with the application. The production is manufactured in accordance with curr</w:t>
      </w:r>
      <w:r w:rsidR="000721E6">
        <w:rPr>
          <w:lang w:eastAsia="en-AU"/>
        </w:rPr>
        <w:t>ent Good Manufacturing Practice</w:t>
      </w:r>
      <w:r w:rsidRPr="00E266D6">
        <w:rPr>
          <w:lang w:eastAsia="en-AU"/>
        </w:rPr>
        <w:t xml:space="preserve"> for Food</w:t>
      </w:r>
      <w:r w:rsidR="00A212A3">
        <w:rPr>
          <w:rStyle w:val="FootnoteReference"/>
          <w:lang w:eastAsia="en-AU"/>
        </w:rPr>
        <w:footnoteReference w:id="6"/>
      </w:r>
      <w:r w:rsidRPr="00E266D6">
        <w:rPr>
          <w:lang w:eastAsia="en-AU"/>
        </w:rPr>
        <w:t xml:space="preserve"> and the princip</w:t>
      </w:r>
      <w:r w:rsidR="00B849F4">
        <w:rPr>
          <w:lang w:eastAsia="en-AU"/>
        </w:rPr>
        <w:t>le</w:t>
      </w:r>
      <w:r w:rsidRPr="00E266D6">
        <w:rPr>
          <w:lang w:eastAsia="en-AU"/>
        </w:rPr>
        <w:t>s of Hazard Ana</w:t>
      </w:r>
      <w:r w:rsidR="00AB668A">
        <w:rPr>
          <w:lang w:eastAsia="en-AU"/>
        </w:rPr>
        <w:t xml:space="preserve">lysis and </w:t>
      </w:r>
      <w:r>
        <w:rPr>
          <w:lang w:eastAsia="en-AU"/>
        </w:rPr>
        <w:t>Critical Control Point</w:t>
      </w:r>
      <w:r w:rsidR="00AB668A">
        <w:rPr>
          <w:lang w:eastAsia="en-AU"/>
        </w:rPr>
        <w:t xml:space="preserve"> (HACCP)</w:t>
      </w:r>
      <w:r>
        <w:rPr>
          <w:lang w:eastAsia="en-AU"/>
        </w:rPr>
        <w:t>.</w:t>
      </w:r>
    </w:p>
    <w:p w14:paraId="01D96405" w14:textId="7966FE4E" w:rsidR="002F196D" w:rsidRPr="00E266D6" w:rsidRDefault="002F196D" w:rsidP="002F196D">
      <w:pPr>
        <w:rPr>
          <w:lang w:eastAsia="en-AU"/>
        </w:rPr>
      </w:pPr>
    </w:p>
    <w:p w14:paraId="45446124" w14:textId="564A0116" w:rsidR="008E4F1F" w:rsidRDefault="002F196D" w:rsidP="00AB6F08">
      <w:pPr>
        <w:rPr>
          <w:lang w:eastAsia="en-AU" w:bidi="ar-SA"/>
        </w:rPr>
      </w:pPr>
      <w:r>
        <w:rPr>
          <w:lang w:eastAsia="en-AU"/>
        </w:rPr>
        <w:t xml:space="preserve">The </w:t>
      </w:r>
      <w:r w:rsidR="008E4F1F">
        <w:rPr>
          <w:lang w:eastAsia="en-AU"/>
        </w:rPr>
        <w:t>application</w:t>
      </w:r>
      <w:r>
        <w:rPr>
          <w:lang w:eastAsia="en-AU"/>
        </w:rPr>
        <w:t xml:space="preserve"> states that all</w:t>
      </w:r>
      <w:r w:rsidRPr="00E266D6">
        <w:rPr>
          <w:lang w:eastAsia="en-AU"/>
        </w:rPr>
        <w:t xml:space="preserve"> raw materials used in the fermentation and recovery processes are standard ingredients of food grade quality that meet predefined quality standards</w:t>
      </w:r>
      <w:r>
        <w:rPr>
          <w:lang w:eastAsia="en-AU"/>
        </w:rPr>
        <w:t xml:space="preserve">. </w:t>
      </w:r>
      <w:r w:rsidRPr="00E266D6">
        <w:rPr>
          <w:lang w:eastAsia="en-AU"/>
        </w:rPr>
        <w:t xml:space="preserve">The raw materials conform to either specifications set out in the Food Chemical Codex, 12th edition, 2020 or </w:t>
      </w:r>
      <w:r>
        <w:rPr>
          <w:lang w:eastAsia="en-AU"/>
        </w:rPr>
        <w:t>regulations applying in the European Union</w:t>
      </w:r>
      <w:r w:rsidRPr="007421C2">
        <w:rPr>
          <w:lang w:eastAsia="en-AU"/>
        </w:rPr>
        <w:t>.</w:t>
      </w:r>
      <w:r w:rsidR="008E4F1F" w:rsidRPr="007421C2">
        <w:rPr>
          <w:lang w:eastAsia="en-AU"/>
        </w:rPr>
        <w:t xml:space="preserve"> </w:t>
      </w:r>
      <w:r w:rsidR="00AB6F08" w:rsidRPr="007421C2">
        <w:rPr>
          <w:lang w:eastAsia="en-AU"/>
        </w:rPr>
        <w:t>The</w:t>
      </w:r>
      <w:r w:rsidR="008E4F1F" w:rsidRPr="007421C2">
        <w:rPr>
          <w:lang w:eastAsia="en-AU"/>
        </w:rPr>
        <w:t xml:space="preserve"> </w:t>
      </w:r>
      <w:r w:rsidR="00151394" w:rsidRPr="007421C2">
        <w:rPr>
          <w:lang w:eastAsia="en-AU"/>
        </w:rPr>
        <w:t xml:space="preserve">applicant </w:t>
      </w:r>
      <w:r w:rsidR="0042032B" w:rsidRPr="007421C2">
        <w:rPr>
          <w:lang w:eastAsia="en-AU"/>
        </w:rPr>
        <w:t xml:space="preserve">has advised </w:t>
      </w:r>
      <w:r w:rsidR="00151394" w:rsidRPr="007421C2">
        <w:rPr>
          <w:lang w:eastAsia="en-AU"/>
        </w:rPr>
        <w:t xml:space="preserve">that </w:t>
      </w:r>
      <w:r w:rsidR="008E4F1F" w:rsidRPr="007421C2">
        <w:rPr>
          <w:lang w:eastAsia="en-AU"/>
        </w:rPr>
        <w:t>a wheat-based material is used during fermentation</w:t>
      </w:r>
      <w:r w:rsidR="00AB6F08" w:rsidRPr="007421C2">
        <w:rPr>
          <w:lang w:eastAsia="en-AU"/>
        </w:rPr>
        <w:t xml:space="preserve"> and is wholly consumed</w:t>
      </w:r>
      <w:r w:rsidR="00F26118">
        <w:rPr>
          <w:lang w:eastAsia="en-AU"/>
        </w:rPr>
        <w:t xml:space="preserve"> during fermentation</w:t>
      </w:r>
      <w:r w:rsidR="0042032B" w:rsidRPr="007421C2">
        <w:rPr>
          <w:lang w:eastAsia="en-AU"/>
        </w:rPr>
        <w:t xml:space="preserve">. </w:t>
      </w:r>
      <w:r w:rsidR="003E3746" w:rsidRPr="007421C2">
        <w:rPr>
          <w:lang w:eastAsia="en-AU"/>
        </w:rPr>
        <w:t>FSANZ</w:t>
      </w:r>
      <w:r w:rsidR="00AB6F08" w:rsidRPr="007421C2">
        <w:rPr>
          <w:lang w:eastAsia="en-AU"/>
        </w:rPr>
        <w:t xml:space="preserve"> considers that it is therefore</w:t>
      </w:r>
      <w:r w:rsidR="0042032B" w:rsidRPr="007421C2">
        <w:rPr>
          <w:lang w:eastAsia="en-AU"/>
        </w:rPr>
        <w:t xml:space="preserve"> likely that the wheat</w:t>
      </w:r>
      <w:r w:rsidR="00DE1677" w:rsidRPr="00DE1677">
        <w:rPr>
          <w:lang w:eastAsia="en-AU"/>
        </w:rPr>
        <w:t>-based material</w:t>
      </w:r>
      <w:r w:rsidR="0042032B" w:rsidRPr="007421C2">
        <w:rPr>
          <w:lang w:eastAsia="en-AU"/>
        </w:rPr>
        <w:t xml:space="preserve"> in the fermentation media is unlikely to be present </w:t>
      </w:r>
      <w:r w:rsidR="008E4F1F" w:rsidRPr="007421C2">
        <w:rPr>
          <w:lang w:eastAsia="en-AU"/>
        </w:rPr>
        <w:t xml:space="preserve">in the final </w:t>
      </w:r>
      <w:r w:rsidR="0042032B" w:rsidRPr="007421C2">
        <w:rPr>
          <w:lang w:eastAsia="en-AU"/>
        </w:rPr>
        <w:t xml:space="preserve">commercial </w:t>
      </w:r>
      <w:r w:rsidR="008E4F1F" w:rsidRPr="007421C2">
        <w:rPr>
          <w:lang w:eastAsia="en-AU"/>
        </w:rPr>
        <w:t xml:space="preserve">enzyme preparation. </w:t>
      </w:r>
      <w:r w:rsidR="00AB6F08" w:rsidRPr="007421C2">
        <w:rPr>
          <w:bCs/>
          <w:lang w:eastAsia="en-AU" w:bidi="ar-SA"/>
        </w:rPr>
        <w:t xml:space="preserve">The Product Data Sheet states absence of cereals containing gluten (i.e. wheat, rye, barley, oats spelt, kamut). </w:t>
      </w:r>
    </w:p>
    <w:p w14:paraId="7D8A6EAA" w14:textId="55684811" w:rsidR="002F196D" w:rsidRDefault="002F196D" w:rsidP="002F196D">
      <w:pPr>
        <w:rPr>
          <w:lang w:eastAsia="en-AU"/>
        </w:rPr>
      </w:pPr>
    </w:p>
    <w:p w14:paraId="284BBD48" w14:textId="14431C22" w:rsidR="00921D89" w:rsidRDefault="008F24A5" w:rsidP="00921D89">
      <w:pPr>
        <w:rPr>
          <w:lang w:eastAsia="en-AU" w:bidi="ar-SA"/>
        </w:rPr>
      </w:pPr>
      <w:r>
        <w:rPr>
          <w:lang w:eastAsia="en-AU" w:bidi="ar-SA"/>
        </w:rPr>
        <w:t>D</w:t>
      </w:r>
      <w:r w:rsidR="002F196D">
        <w:rPr>
          <w:lang w:eastAsia="en-AU" w:bidi="ar-SA"/>
        </w:rPr>
        <w:t xml:space="preserve">etails on the manufacturing process, raw materials and ingredients used in the production of the </w:t>
      </w:r>
      <w:r w:rsidR="0017450C">
        <w:rPr>
          <w:lang w:eastAsia="en-AU" w:bidi="ar-SA"/>
        </w:rPr>
        <w:t>polyg</w:t>
      </w:r>
      <w:r w:rsidR="005F6F07">
        <w:rPr>
          <w:lang w:eastAsia="en-AU" w:bidi="ar-SA"/>
        </w:rPr>
        <w:t>alacturonase</w:t>
      </w:r>
      <w:r w:rsidR="002F196D">
        <w:rPr>
          <w:lang w:eastAsia="en-AU" w:bidi="ar-SA"/>
        </w:rPr>
        <w:t xml:space="preserve"> enzyme preparation were provided </w:t>
      </w:r>
      <w:r w:rsidR="00955BD6">
        <w:rPr>
          <w:lang w:eastAsia="en-AU" w:bidi="ar-SA"/>
        </w:rPr>
        <w:t xml:space="preserve">in the application or </w:t>
      </w:r>
      <w:r w:rsidR="002F196D">
        <w:rPr>
          <w:lang w:eastAsia="en-AU" w:bidi="ar-SA"/>
        </w:rPr>
        <w:t xml:space="preserve">as </w:t>
      </w:r>
      <w:r w:rsidR="002F196D">
        <w:rPr>
          <w:lang w:eastAsia="en-AU" w:bidi="ar-SA"/>
        </w:rPr>
        <w:lastRenderedPageBreak/>
        <w:t>Confidential Commerc</w:t>
      </w:r>
      <w:r w:rsidR="00955BD6">
        <w:rPr>
          <w:lang w:eastAsia="en-AU" w:bidi="ar-SA"/>
        </w:rPr>
        <w:t>ial Information</w:t>
      </w:r>
      <w:r w:rsidR="006842E6">
        <w:rPr>
          <w:lang w:eastAsia="en-AU" w:bidi="ar-SA"/>
        </w:rPr>
        <w:t>.</w:t>
      </w:r>
    </w:p>
    <w:p w14:paraId="4B474A55" w14:textId="77777777" w:rsidR="002F196D" w:rsidRPr="00A63543" w:rsidRDefault="002F196D" w:rsidP="00A63543">
      <w:pPr>
        <w:pStyle w:val="Heading3"/>
      </w:pPr>
      <w:bookmarkStart w:id="61" w:name="_Toc95987205"/>
      <w:bookmarkStart w:id="62" w:name="_Toc67559429"/>
      <w:bookmarkStart w:id="63" w:name="_Toc95987206"/>
      <w:bookmarkStart w:id="64" w:name="_Toc99464551"/>
      <w:bookmarkStart w:id="65" w:name="_Toc99458048"/>
      <w:bookmarkStart w:id="66" w:name="_Toc103671973"/>
      <w:bookmarkEnd w:id="61"/>
      <w:r w:rsidRPr="00A63543">
        <w:t>2.2.2</w:t>
      </w:r>
      <w:r w:rsidRPr="00A63543">
        <w:tab/>
        <w:t>Specifications</w:t>
      </w:r>
      <w:bookmarkEnd w:id="62"/>
      <w:bookmarkEnd w:id="63"/>
      <w:bookmarkEnd w:id="64"/>
      <w:bookmarkEnd w:id="65"/>
      <w:bookmarkEnd w:id="66"/>
    </w:p>
    <w:p w14:paraId="08FB85FC" w14:textId="12E5BB39" w:rsidR="002F196D" w:rsidRDefault="002F196D" w:rsidP="002F196D">
      <w:pPr>
        <w:rPr>
          <w:lang w:eastAsia="en-AU" w:bidi="ar-SA"/>
        </w:rPr>
      </w:pPr>
      <w:r>
        <w:rPr>
          <w:lang w:eastAsia="en-AU" w:bidi="ar-SA"/>
        </w:rPr>
        <w:t xml:space="preserve">There are international specifications for enzyme preparations used in the production of food. These have been established by the Joint FAO/WHO Expert Committee on Food Additives (JECFA) in its Compendium of Food Additive Specifications </w:t>
      </w:r>
      <w:r w:rsidR="00AE229F">
        <w:rPr>
          <w:lang w:eastAsia="en-AU" w:bidi="ar-SA"/>
        </w:rPr>
        <w:t xml:space="preserve">(FAO/WHO 2006) </w:t>
      </w:r>
      <w:r>
        <w:rPr>
          <w:lang w:eastAsia="en-AU" w:bidi="ar-SA"/>
        </w:rPr>
        <w:t>and in the Food Chemicals Codex (FCC</w:t>
      </w:r>
      <w:r w:rsidR="00AE229F">
        <w:rPr>
          <w:lang w:eastAsia="en-AU" w:bidi="ar-SA"/>
        </w:rPr>
        <w:t xml:space="preserve"> 2008</w:t>
      </w:r>
      <w:r>
        <w:rPr>
          <w:lang w:eastAsia="en-AU" w:bidi="ar-SA"/>
        </w:rPr>
        <w:t xml:space="preserve">). These specifications are included in </w:t>
      </w:r>
      <w:r w:rsidR="00AE229F">
        <w:rPr>
          <w:lang w:eastAsia="en-AU" w:bidi="ar-SA"/>
        </w:rPr>
        <w:t xml:space="preserve">earlier publications of </w:t>
      </w:r>
      <w:r>
        <w:rPr>
          <w:lang w:eastAsia="en-AU" w:bidi="ar-SA"/>
        </w:rPr>
        <w:t xml:space="preserve">the primary sources listed in section S3—2 of Schedule 3 of the Code and enzymes used as a processing aid must meet either of these specifications. </w:t>
      </w:r>
      <w:r w:rsidR="00171ED5">
        <w:rPr>
          <w:lang w:eastAsia="en-AU" w:bidi="ar-SA"/>
        </w:rPr>
        <w:t>The applicant states that the</w:t>
      </w:r>
      <w:r w:rsidR="00A46623">
        <w:rPr>
          <w:lang w:eastAsia="en-AU" w:bidi="ar-SA"/>
        </w:rPr>
        <w:t xml:space="preserve"> final enzyme preparation complies with the </w:t>
      </w:r>
      <w:r w:rsidR="00171ED5">
        <w:rPr>
          <w:lang w:eastAsia="en-AU" w:bidi="ar-SA"/>
        </w:rPr>
        <w:t xml:space="preserve">requirements </w:t>
      </w:r>
      <w:r w:rsidR="00A46623">
        <w:rPr>
          <w:lang w:eastAsia="en-AU" w:bidi="ar-SA"/>
        </w:rPr>
        <w:t xml:space="preserve">in both of these specifications. </w:t>
      </w:r>
      <w:r>
        <w:rPr>
          <w:lang w:eastAsia="en-AU" w:bidi="ar-SA"/>
        </w:rPr>
        <w:t xml:space="preserve">Schedule 3 of the Code also includes specifications for </w:t>
      </w:r>
      <w:r w:rsidR="004123CF">
        <w:rPr>
          <w:lang w:eastAsia="en-AU" w:bidi="ar-SA"/>
        </w:rPr>
        <w:t xml:space="preserve">arsenic and </w:t>
      </w:r>
      <w:r>
        <w:rPr>
          <w:lang w:eastAsia="en-AU" w:bidi="ar-SA"/>
        </w:rPr>
        <w:t>heavy metals (section S3—4) if they are not already detailed within specifications in sections S3—2 or S3—3.</w:t>
      </w:r>
    </w:p>
    <w:p w14:paraId="344FC5A0" w14:textId="77777777" w:rsidR="002F196D" w:rsidRDefault="002F196D" w:rsidP="002F196D">
      <w:pPr>
        <w:rPr>
          <w:lang w:eastAsia="en-AU" w:bidi="ar-SA"/>
        </w:rPr>
      </w:pPr>
    </w:p>
    <w:p w14:paraId="1341B331" w14:textId="65AEF81A" w:rsidR="0092306E" w:rsidRDefault="002F196D" w:rsidP="002F196D">
      <w:pPr>
        <w:rPr>
          <w:lang w:eastAsia="en-AU" w:bidi="ar-SA"/>
        </w:rPr>
      </w:pPr>
      <w:r>
        <w:rPr>
          <w:lang w:eastAsia="en-AU" w:bidi="ar-SA"/>
        </w:rPr>
        <w:t xml:space="preserve">The applicant provided the results of analysis of three different batches of the </w:t>
      </w:r>
      <w:r w:rsidR="0017450C">
        <w:rPr>
          <w:lang w:eastAsia="en-AU" w:bidi="ar-SA"/>
        </w:rPr>
        <w:t>polyg</w:t>
      </w:r>
      <w:r>
        <w:rPr>
          <w:lang w:eastAsia="en-AU" w:bidi="ar-SA"/>
        </w:rPr>
        <w:t>alacturonase</w:t>
      </w:r>
      <w:r w:rsidR="008B4238">
        <w:rPr>
          <w:lang w:eastAsia="en-AU" w:bidi="ar-SA"/>
        </w:rPr>
        <w:t xml:space="preserve"> preparation. Table 2</w:t>
      </w:r>
      <w:r>
        <w:rPr>
          <w:lang w:eastAsia="en-AU" w:bidi="ar-SA"/>
        </w:rPr>
        <w:t xml:space="preserve"> provides a comparison of the analyses with international specifications established by JECFA and Food Chemicals Codex, as well as those in the Code (as applicable). Based on these results,</w:t>
      </w:r>
      <w:r w:rsidR="00501008">
        <w:rPr>
          <w:lang w:eastAsia="en-AU" w:bidi="ar-SA"/>
        </w:rPr>
        <w:t xml:space="preserve"> and commercial-in-confidence information provided by the applicant, </w:t>
      </w:r>
      <w:r>
        <w:rPr>
          <w:lang w:eastAsia="en-AU" w:bidi="ar-SA"/>
        </w:rPr>
        <w:t>the enzyme preparation met all relevant specifications for arsenic and metals and the microbiological criteria.</w:t>
      </w:r>
    </w:p>
    <w:p w14:paraId="60D1CB15" w14:textId="58461287" w:rsidR="002F196D" w:rsidRDefault="002F196D" w:rsidP="002F196D">
      <w:pPr>
        <w:rPr>
          <w:lang w:eastAsia="en-AU" w:bidi="ar-SA"/>
        </w:rPr>
      </w:pPr>
    </w:p>
    <w:p w14:paraId="6B68CD4D" w14:textId="600DE2E8" w:rsidR="002F196D" w:rsidRDefault="008B4238" w:rsidP="002F196D">
      <w:pPr>
        <w:pStyle w:val="FSTableTitle"/>
        <w:keepNext/>
        <w:keepLines/>
        <w:spacing w:after="240"/>
        <w:ind w:left="1134" w:hanging="1134"/>
        <w:rPr>
          <w:b w:val="0"/>
          <w:i/>
          <w:sz w:val="24"/>
        </w:rPr>
      </w:pPr>
      <w:r>
        <w:rPr>
          <w:i/>
        </w:rPr>
        <w:t>Table 2</w:t>
      </w:r>
      <w:r w:rsidR="002F196D">
        <w:rPr>
          <w:i/>
          <w:szCs w:val="20"/>
        </w:rPr>
        <w:tab/>
      </w:r>
      <w:r w:rsidR="002F196D">
        <w:rPr>
          <w:b w:val="0"/>
          <w:i/>
        </w:rPr>
        <w:t xml:space="preserve">Comparison of manufacturer’s </w:t>
      </w:r>
      <w:r w:rsidR="0017450C">
        <w:rPr>
          <w:b w:val="0"/>
          <w:i/>
        </w:rPr>
        <w:t>polyg</w:t>
      </w:r>
      <w:r w:rsidR="002F196D">
        <w:rPr>
          <w:b w:val="0"/>
          <w:i/>
        </w:rPr>
        <w:t xml:space="preserve">alacturonase preparation compared to JECFA, Food Chemicals Codex, and Code specifications for enzymes </w:t>
      </w:r>
    </w:p>
    <w:tbl>
      <w:tblPr>
        <w:tblStyle w:val="TableClassic42"/>
        <w:tblW w:w="9072" w:type="dxa"/>
        <w:tblInd w:w="0"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ses compared to specifications for heavy metals and microbial contaminants"/>
      </w:tblPr>
      <w:tblGrid>
        <w:gridCol w:w="2268"/>
        <w:gridCol w:w="1731"/>
        <w:gridCol w:w="1671"/>
        <w:gridCol w:w="1594"/>
        <w:gridCol w:w="1808"/>
      </w:tblGrid>
      <w:tr w:rsidR="002F196D" w14:paraId="25DC29A7" w14:textId="77777777" w:rsidTr="005F6F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val="restart"/>
            <w:tcBorders>
              <w:top w:val="nil"/>
              <w:left w:val="nil"/>
              <w:bottom w:val="single" w:sz="6" w:space="0" w:color="000000"/>
              <w:right w:val="nil"/>
            </w:tcBorders>
            <w:shd w:val="clear" w:color="auto" w:fill="616571"/>
            <w:vAlign w:val="center"/>
          </w:tcPr>
          <w:p w14:paraId="2E98F9A9" w14:textId="77777777" w:rsidR="002F196D" w:rsidRDefault="002F196D" w:rsidP="00216661">
            <w:pPr>
              <w:keepNext/>
              <w:keepLines/>
              <w:spacing w:before="60" w:after="60"/>
              <w:jc w:val="center"/>
              <w:rPr>
                <w:rFonts w:cs="Arial"/>
                <w:color w:val="FFFFFF" w:themeColor="background1"/>
                <w:sz w:val="20"/>
                <w:szCs w:val="20"/>
              </w:rPr>
            </w:pPr>
          </w:p>
          <w:p w14:paraId="3DAE9772" w14:textId="77777777" w:rsidR="002F196D" w:rsidRDefault="002F196D" w:rsidP="00216661">
            <w:pPr>
              <w:keepNext/>
              <w:keepLines/>
              <w:spacing w:before="60" w:after="60"/>
              <w:jc w:val="center"/>
              <w:rPr>
                <w:rFonts w:cs="Arial"/>
                <w:i w:val="0"/>
                <w:color w:val="FFFFFF" w:themeColor="background1"/>
                <w:sz w:val="20"/>
                <w:szCs w:val="20"/>
              </w:rPr>
            </w:pPr>
            <w:r>
              <w:rPr>
                <w:rFonts w:cs="Arial"/>
                <w:i w:val="0"/>
                <w:color w:val="FFFFFF" w:themeColor="background1"/>
                <w:sz w:val="20"/>
                <w:szCs w:val="20"/>
              </w:rPr>
              <w:t xml:space="preserve">Analysis </w:t>
            </w:r>
          </w:p>
        </w:tc>
        <w:tc>
          <w:tcPr>
            <w:tcW w:w="1731" w:type="dxa"/>
            <w:vMerge w:val="restart"/>
            <w:tcBorders>
              <w:top w:val="nil"/>
              <w:left w:val="nil"/>
              <w:bottom w:val="single" w:sz="6" w:space="0" w:color="000000"/>
              <w:right w:val="nil"/>
            </w:tcBorders>
            <w:shd w:val="clear" w:color="auto" w:fill="616571"/>
            <w:vAlign w:val="center"/>
            <w:hideMark/>
          </w:tcPr>
          <w:p w14:paraId="6DF4BC17" w14:textId="77777777" w:rsidR="002F196D" w:rsidRDefault="002F196D" w:rsidP="00216661">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Pr>
                <w:rFonts w:cs="Arial"/>
                <w:i w:val="0"/>
                <w:color w:val="FFFFFF" w:themeColor="background1"/>
                <w:sz w:val="20"/>
                <w:szCs w:val="20"/>
              </w:rPr>
              <w:t>Analysis provided by manufacturer*</w:t>
            </w:r>
          </w:p>
        </w:tc>
        <w:tc>
          <w:tcPr>
            <w:tcW w:w="5073" w:type="dxa"/>
            <w:gridSpan w:val="3"/>
            <w:tcBorders>
              <w:top w:val="nil"/>
              <w:left w:val="nil"/>
              <w:bottom w:val="nil"/>
              <w:right w:val="nil"/>
            </w:tcBorders>
            <w:shd w:val="clear" w:color="auto" w:fill="616571"/>
            <w:hideMark/>
          </w:tcPr>
          <w:p w14:paraId="60E0A9BA" w14:textId="77777777" w:rsidR="002F196D" w:rsidRDefault="002F196D" w:rsidP="00216661">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Pr>
                <w:rFonts w:cs="Arial"/>
                <w:i w:val="0"/>
                <w:color w:val="FFFFFF" w:themeColor="background1"/>
                <w:sz w:val="20"/>
                <w:szCs w:val="20"/>
              </w:rPr>
              <w:t>Specifications</w:t>
            </w:r>
          </w:p>
        </w:tc>
      </w:tr>
      <w:tr w:rsidR="002F196D" w14:paraId="7521B270" w14:textId="77777777" w:rsidTr="005F6F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tcBorders>
              <w:top w:val="nil"/>
              <w:left w:val="nil"/>
              <w:right w:val="nil"/>
            </w:tcBorders>
            <w:vAlign w:val="center"/>
            <w:hideMark/>
          </w:tcPr>
          <w:p w14:paraId="0A36A06C" w14:textId="77777777" w:rsidR="002F196D" w:rsidRDefault="002F196D" w:rsidP="00216661">
            <w:pPr>
              <w:rPr>
                <w:rFonts w:cs="Arial"/>
                <w:color w:val="FFFFFF" w:themeColor="background1"/>
                <w:sz w:val="20"/>
                <w:szCs w:val="20"/>
              </w:rPr>
            </w:pPr>
          </w:p>
        </w:tc>
        <w:tc>
          <w:tcPr>
            <w:tcW w:w="1731" w:type="dxa"/>
            <w:vMerge/>
            <w:tcBorders>
              <w:top w:val="nil"/>
              <w:left w:val="nil"/>
              <w:right w:val="nil"/>
            </w:tcBorders>
            <w:vAlign w:val="center"/>
            <w:hideMark/>
          </w:tcPr>
          <w:p w14:paraId="6CB4FDEA" w14:textId="77777777" w:rsidR="002F196D" w:rsidRDefault="002F196D" w:rsidP="00216661">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p>
        </w:tc>
        <w:tc>
          <w:tcPr>
            <w:tcW w:w="1671" w:type="dxa"/>
            <w:tcBorders>
              <w:top w:val="nil"/>
              <w:left w:val="nil"/>
              <w:right w:val="nil"/>
            </w:tcBorders>
            <w:shd w:val="clear" w:color="auto" w:fill="616571"/>
            <w:vAlign w:val="center"/>
            <w:hideMark/>
          </w:tcPr>
          <w:p w14:paraId="767DDA10" w14:textId="77777777" w:rsidR="002F196D" w:rsidRDefault="002F196D" w:rsidP="00216661">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JECFA</w:t>
            </w:r>
          </w:p>
          <w:p w14:paraId="552392EB" w14:textId="77777777" w:rsidR="002F196D" w:rsidRDefault="002F196D" w:rsidP="00216661">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(2006)</w:t>
            </w:r>
          </w:p>
        </w:tc>
        <w:tc>
          <w:tcPr>
            <w:tcW w:w="1594" w:type="dxa"/>
            <w:tcBorders>
              <w:top w:val="nil"/>
              <w:left w:val="nil"/>
              <w:right w:val="nil"/>
            </w:tcBorders>
            <w:shd w:val="clear" w:color="auto" w:fill="616571"/>
            <w:vAlign w:val="center"/>
            <w:hideMark/>
          </w:tcPr>
          <w:p w14:paraId="50C82BFE" w14:textId="77777777" w:rsidR="002F196D" w:rsidRDefault="002F196D" w:rsidP="00216661">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Food Chemicals Codex</w:t>
            </w:r>
          </w:p>
          <w:p w14:paraId="2A4C9B52" w14:textId="19F4772F" w:rsidR="002F196D" w:rsidRDefault="002F196D" w:rsidP="0050100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 xml:space="preserve">(FCC, </w:t>
            </w:r>
            <w:r w:rsidR="00501008">
              <w:rPr>
                <w:rFonts w:cs="Arial"/>
                <w:color w:val="FFFFFF" w:themeColor="background1"/>
                <w:sz w:val="20"/>
                <w:szCs w:val="20"/>
              </w:rPr>
              <w:t>2020</w:t>
            </w:r>
            <w:r>
              <w:rPr>
                <w:rFonts w:cs="Arial"/>
                <w:color w:val="FFFFFF" w:themeColor="background1"/>
                <w:sz w:val="20"/>
                <w:szCs w:val="20"/>
              </w:rPr>
              <w:t>)</w:t>
            </w:r>
          </w:p>
        </w:tc>
        <w:tc>
          <w:tcPr>
            <w:tcW w:w="1808" w:type="dxa"/>
            <w:tcBorders>
              <w:top w:val="nil"/>
              <w:left w:val="nil"/>
              <w:right w:val="nil"/>
            </w:tcBorders>
            <w:shd w:val="clear" w:color="auto" w:fill="616571"/>
            <w:vAlign w:val="center"/>
            <w:hideMark/>
          </w:tcPr>
          <w:p w14:paraId="57EF6FC8" w14:textId="77777777" w:rsidR="002F196D" w:rsidRDefault="002F196D" w:rsidP="00216661">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Australia New Zealand Food Standards Code</w:t>
            </w:r>
          </w:p>
          <w:p w14:paraId="17A02114" w14:textId="77777777" w:rsidR="002F196D" w:rsidRDefault="002F196D" w:rsidP="00216661">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(section S3—4)</w:t>
            </w:r>
          </w:p>
        </w:tc>
      </w:tr>
      <w:tr w:rsidR="002F196D" w14:paraId="103CBE66" w14:textId="77777777" w:rsidTr="005F6F0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28C7590B" w14:textId="77777777" w:rsidR="002F196D" w:rsidRDefault="002F196D" w:rsidP="00216661">
            <w:pPr>
              <w:spacing w:before="60" w:after="60"/>
              <w:rPr>
                <w:sz w:val="20"/>
                <w:szCs w:val="20"/>
              </w:rPr>
            </w:pPr>
            <w:r>
              <w:rPr>
                <w:sz w:val="20"/>
                <w:szCs w:val="20"/>
              </w:rPr>
              <w:t>Lead (mg/kg)</w:t>
            </w:r>
          </w:p>
        </w:tc>
        <w:tc>
          <w:tcPr>
            <w:tcW w:w="1731" w:type="dxa"/>
            <w:tcBorders>
              <w:top w:val="nil"/>
              <w:left w:val="nil"/>
              <w:bottom w:val="nil"/>
              <w:right w:val="nil"/>
            </w:tcBorders>
            <w:shd w:val="clear" w:color="auto" w:fill="ECECEC"/>
            <w:hideMark/>
          </w:tcPr>
          <w:p w14:paraId="02AFB345"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&lt;0.05</w:t>
            </w:r>
          </w:p>
        </w:tc>
        <w:tc>
          <w:tcPr>
            <w:tcW w:w="1671" w:type="dxa"/>
            <w:tcBorders>
              <w:top w:val="nil"/>
              <w:left w:val="nil"/>
              <w:bottom w:val="nil"/>
              <w:right w:val="nil"/>
            </w:tcBorders>
            <w:shd w:val="clear" w:color="auto" w:fill="ECECEC"/>
            <w:hideMark/>
          </w:tcPr>
          <w:p w14:paraId="297D215B"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5</w:t>
            </w:r>
          </w:p>
        </w:tc>
        <w:tc>
          <w:tcPr>
            <w:tcW w:w="1594" w:type="dxa"/>
            <w:tcBorders>
              <w:top w:val="nil"/>
              <w:left w:val="nil"/>
              <w:bottom w:val="nil"/>
              <w:right w:val="nil"/>
            </w:tcBorders>
            <w:shd w:val="clear" w:color="auto" w:fill="ECECEC"/>
            <w:hideMark/>
          </w:tcPr>
          <w:p w14:paraId="407557E2"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5</w:t>
            </w:r>
          </w:p>
        </w:tc>
        <w:tc>
          <w:tcPr>
            <w:tcW w:w="1808" w:type="dxa"/>
            <w:tcBorders>
              <w:top w:val="nil"/>
              <w:left w:val="nil"/>
              <w:bottom w:val="nil"/>
              <w:right w:val="nil"/>
            </w:tcBorders>
            <w:shd w:val="clear" w:color="auto" w:fill="ECECEC"/>
            <w:hideMark/>
          </w:tcPr>
          <w:p w14:paraId="70B94FF1"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2F196D" w14:paraId="1FDF24D4" w14:textId="77777777" w:rsidTr="005F6F0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05610DA0" w14:textId="77777777" w:rsidR="002F196D" w:rsidRDefault="002F196D" w:rsidP="00216661">
            <w:pPr>
              <w:spacing w:before="60" w:after="60"/>
              <w:rPr>
                <w:i/>
                <w:sz w:val="20"/>
                <w:szCs w:val="20"/>
              </w:rPr>
            </w:pPr>
            <w:r>
              <w:rPr>
                <w:sz w:val="20"/>
                <w:szCs w:val="20"/>
              </w:rPr>
              <w:t>Arsenic (mg/kg)</w:t>
            </w:r>
          </w:p>
        </w:tc>
        <w:tc>
          <w:tcPr>
            <w:tcW w:w="1731" w:type="dxa"/>
            <w:tcBorders>
              <w:top w:val="nil"/>
              <w:left w:val="nil"/>
              <w:bottom w:val="nil"/>
              <w:right w:val="nil"/>
            </w:tcBorders>
            <w:hideMark/>
          </w:tcPr>
          <w:p w14:paraId="775459EF" w14:textId="0A8309DC" w:rsidR="002F196D" w:rsidRDefault="00EF4036"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&lt;0.5</w:t>
            </w:r>
          </w:p>
        </w:tc>
        <w:tc>
          <w:tcPr>
            <w:tcW w:w="1671" w:type="dxa"/>
            <w:tcBorders>
              <w:top w:val="nil"/>
              <w:left w:val="nil"/>
              <w:bottom w:val="nil"/>
              <w:right w:val="nil"/>
            </w:tcBorders>
            <w:hideMark/>
          </w:tcPr>
          <w:p w14:paraId="7A0B2978"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top w:val="nil"/>
              <w:left w:val="nil"/>
              <w:bottom w:val="nil"/>
              <w:right w:val="nil"/>
            </w:tcBorders>
            <w:hideMark/>
          </w:tcPr>
          <w:p w14:paraId="1942E658"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08" w:type="dxa"/>
            <w:tcBorders>
              <w:top w:val="nil"/>
              <w:left w:val="nil"/>
              <w:bottom w:val="nil"/>
              <w:right w:val="nil"/>
            </w:tcBorders>
            <w:hideMark/>
          </w:tcPr>
          <w:p w14:paraId="368B7A49"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2F196D" w14:paraId="6F9C5EAE" w14:textId="77777777" w:rsidTr="005F6F0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4E94987B" w14:textId="77777777" w:rsidR="002F196D" w:rsidRDefault="002F196D" w:rsidP="00216661">
            <w:pPr>
              <w:spacing w:before="60" w:after="60"/>
              <w:rPr>
                <w:sz w:val="20"/>
                <w:szCs w:val="20"/>
              </w:rPr>
            </w:pPr>
            <w:r>
              <w:rPr>
                <w:sz w:val="20"/>
                <w:szCs w:val="20"/>
              </w:rPr>
              <w:t>Cadmium (mg/kg)</w:t>
            </w:r>
          </w:p>
        </w:tc>
        <w:tc>
          <w:tcPr>
            <w:tcW w:w="1731" w:type="dxa"/>
            <w:tcBorders>
              <w:top w:val="nil"/>
              <w:left w:val="nil"/>
              <w:bottom w:val="nil"/>
              <w:right w:val="nil"/>
            </w:tcBorders>
            <w:shd w:val="clear" w:color="auto" w:fill="ECECEC"/>
            <w:hideMark/>
          </w:tcPr>
          <w:p w14:paraId="35AA7AC1" w14:textId="73D92519" w:rsidR="002F196D" w:rsidRDefault="00EF4036"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&lt;0.05</w:t>
            </w:r>
          </w:p>
        </w:tc>
        <w:tc>
          <w:tcPr>
            <w:tcW w:w="1671" w:type="dxa"/>
            <w:tcBorders>
              <w:top w:val="nil"/>
              <w:left w:val="nil"/>
              <w:bottom w:val="nil"/>
              <w:right w:val="nil"/>
            </w:tcBorders>
            <w:shd w:val="clear" w:color="auto" w:fill="ECECEC"/>
            <w:hideMark/>
          </w:tcPr>
          <w:p w14:paraId="6834104F"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top w:val="nil"/>
              <w:left w:val="nil"/>
              <w:bottom w:val="nil"/>
              <w:right w:val="nil"/>
            </w:tcBorders>
            <w:shd w:val="clear" w:color="auto" w:fill="ECECEC"/>
            <w:hideMark/>
          </w:tcPr>
          <w:p w14:paraId="30628A81"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08" w:type="dxa"/>
            <w:tcBorders>
              <w:top w:val="nil"/>
              <w:left w:val="nil"/>
              <w:bottom w:val="nil"/>
              <w:right w:val="nil"/>
            </w:tcBorders>
            <w:shd w:val="clear" w:color="auto" w:fill="ECECEC"/>
            <w:hideMark/>
          </w:tcPr>
          <w:p w14:paraId="4F684E9B"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2F196D" w14:paraId="0D5045B2" w14:textId="77777777" w:rsidTr="005F6F0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ECECEC"/>
              <w:right w:val="nil"/>
            </w:tcBorders>
            <w:hideMark/>
          </w:tcPr>
          <w:p w14:paraId="5CE93943" w14:textId="77777777" w:rsidR="002F196D" w:rsidRDefault="002F196D" w:rsidP="00216661">
            <w:pPr>
              <w:spacing w:before="60" w:after="60"/>
              <w:rPr>
                <w:sz w:val="20"/>
                <w:szCs w:val="20"/>
              </w:rPr>
            </w:pPr>
            <w:r>
              <w:rPr>
                <w:sz w:val="20"/>
                <w:szCs w:val="20"/>
              </w:rPr>
              <w:t>Mercury (mg/kg)</w:t>
            </w:r>
          </w:p>
        </w:tc>
        <w:tc>
          <w:tcPr>
            <w:tcW w:w="1731" w:type="dxa"/>
            <w:tcBorders>
              <w:top w:val="nil"/>
              <w:left w:val="nil"/>
              <w:bottom w:val="single" w:sz="4" w:space="0" w:color="ECECEC"/>
              <w:right w:val="nil"/>
            </w:tcBorders>
            <w:hideMark/>
          </w:tcPr>
          <w:p w14:paraId="7A46A983" w14:textId="4DEF0286" w:rsidR="002F196D" w:rsidRDefault="00EF4036"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&lt;0.05</w:t>
            </w:r>
          </w:p>
        </w:tc>
        <w:tc>
          <w:tcPr>
            <w:tcW w:w="1671" w:type="dxa"/>
            <w:tcBorders>
              <w:top w:val="nil"/>
              <w:left w:val="nil"/>
              <w:bottom w:val="single" w:sz="4" w:space="0" w:color="ECECEC"/>
              <w:right w:val="nil"/>
            </w:tcBorders>
            <w:hideMark/>
          </w:tcPr>
          <w:p w14:paraId="03E1EF32"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top w:val="nil"/>
              <w:left w:val="nil"/>
              <w:bottom w:val="single" w:sz="4" w:space="0" w:color="ECECEC"/>
              <w:right w:val="nil"/>
            </w:tcBorders>
            <w:hideMark/>
          </w:tcPr>
          <w:p w14:paraId="0DA1F429"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08" w:type="dxa"/>
            <w:tcBorders>
              <w:top w:val="nil"/>
              <w:left w:val="nil"/>
              <w:bottom w:val="single" w:sz="4" w:space="0" w:color="ECECEC"/>
              <w:right w:val="nil"/>
            </w:tcBorders>
            <w:hideMark/>
          </w:tcPr>
          <w:p w14:paraId="192075B4"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2F196D" w14:paraId="3E08940B" w14:textId="77777777" w:rsidTr="005F6F0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5B8E8631" w14:textId="77777777" w:rsidR="002F196D" w:rsidRDefault="002F196D" w:rsidP="00216661">
            <w:pPr>
              <w:spacing w:before="60" w:after="60"/>
              <w:rPr>
                <w:sz w:val="20"/>
                <w:szCs w:val="20"/>
              </w:rPr>
            </w:pPr>
            <w:r>
              <w:rPr>
                <w:sz w:val="20"/>
                <w:szCs w:val="20"/>
              </w:rPr>
              <w:t>Coliforms (cfu/g)</w:t>
            </w:r>
          </w:p>
        </w:tc>
        <w:tc>
          <w:tcPr>
            <w:tcW w:w="1731" w:type="dxa"/>
            <w:tcBorders>
              <w:top w:val="nil"/>
              <w:left w:val="nil"/>
              <w:bottom w:val="nil"/>
              <w:right w:val="nil"/>
            </w:tcBorders>
            <w:shd w:val="clear" w:color="auto" w:fill="ECECEC"/>
            <w:hideMark/>
          </w:tcPr>
          <w:p w14:paraId="05BEFF6A"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&lt;30</w:t>
            </w:r>
          </w:p>
        </w:tc>
        <w:tc>
          <w:tcPr>
            <w:tcW w:w="1671" w:type="dxa"/>
            <w:tcBorders>
              <w:top w:val="nil"/>
              <w:left w:val="nil"/>
              <w:bottom w:val="nil"/>
              <w:right w:val="nil"/>
            </w:tcBorders>
            <w:shd w:val="clear" w:color="auto" w:fill="ECECEC"/>
            <w:hideMark/>
          </w:tcPr>
          <w:p w14:paraId="0B59316B"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≤30 </w:t>
            </w:r>
          </w:p>
        </w:tc>
        <w:tc>
          <w:tcPr>
            <w:tcW w:w="1594" w:type="dxa"/>
            <w:tcBorders>
              <w:top w:val="nil"/>
              <w:left w:val="nil"/>
              <w:bottom w:val="nil"/>
              <w:right w:val="nil"/>
            </w:tcBorders>
            <w:shd w:val="clear" w:color="auto" w:fill="ECECEC"/>
            <w:hideMark/>
          </w:tcPr>
          <w:p w14:paraId="77C99A47"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1808" w:type="dxa"/>
            <w:tcBorders>
              <w:top w:val="nil"/>
              <w:left w:val="nil"/>
              <w:bottom w:val="nil"/>
              <w:right w:val="nil"/>
            </w:tcBorders>
            <w:shd w:val="clear" w:color="auto" w:fill="ECECEC"/>
            <w:hideMark/>
          </w:tcPr>
          <w:p w14:paraId="0C308FC8"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2F196D" w14:paraId="58A11BB4" w14:textId="77777777" w:rsidTr="005F6F0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6A244029" w14:textId="77777777" w:rsidR="002F196D" w:rsidRDefault="002F196D" w:rsidP="00216661">
            <w:pPr>
              <w:spacing w:before="60" w:after="60"/>
              <w:rPr>
                <w:sz w:val="20"/>
                <w:szCs w:val="20"/>
              </w:rPr>
            </w:pPr>
            <w:r>
              <w:rPr>
                <w:i/>
                <w:sz w:val="20"/>
                <w:szCs w:val="20"/>
              </w:rPr>
              <w:t>Salmonella</w:t>
            </w:r>
            <w:r>
              <w:rPr>
                <w:sz w:val="20"/>
                <w:szCs w:val="20"/>
              </w:rPr>
              <w:t xml:space="preserve"> (in 25 g)</w:t>
            </w:r>
          </w:p>
        </w:tc>
        <w:tc>
          <w:tcPr>
            <w:tcW w:w="1731" w:type="dxa"/>
            <w:tcBorders>
              <w:top w:val="nil"/>
              <w:left w:val="nil"/>
              <w:bottom w:val="nil"/>
              <w:right w:val="nil"/>
            </w:tcBorders>
            <w:hideMark/>
          </w:tcPr>
          <w:p w14:paraId="0BBE60C1"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detected</w:t>
            </w:r>
          </w:p>
        </w:tc>
        <w:tc>
          <w:tcPr>
            <w:tcW w:w="1671" w:type="dxa"/>
            <w:tcBorders>
              <w:top w:val="nil"/>
              <w:left w:val="nil"/>
              <w:bottom w:val="nil"/>
              <w:right w:val="nil"/>
            </w:tcBorders>
            <w:hideMark/>
          </w:tcPr>
          <w:p w14:paraId="21928942"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594" w:type="dxa"/>
            <w:tcBorders>
              <w:top w:val="nil"/>
              <w:left w:val="nil"/>
              <w:bottom w:val="nil"/>
              <w:right w:val="nil"/>
            </w:tcBorders>
            <w:hideMark/>
          </w:tcPr>
          <w:p w14:paraId="0DA864D9"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tc>
        <w:tc>
          <w:tcPr>
            <w:tcW w:w="1808" w:type="dxa"/>
            <w:tcBorders>
              <w:top w:val="nil"/>
              <w:left w:val="nil"/>
              <w:bottom w:val="nil"/>
              <w:right w:val="nil"/>
            </w:tcBorders>
            <w:hideMark/>
          </w:tcPr>
          <w:p w14:paraId="10319155"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2F196D" w14:paraId="6BE752BB" w14:textId="77777777" w:rsidTr="005F6F0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37B0C094" w14:textId="77777777" w:rsidR="002F196D" w:rsidRDefault="002F196D" w:rsidP="00216661">
            <w:pPr>
              <w:spacing w:before="60" w:after="60"/>
              <w:rPr>
                <w:i/>
                <w:sz w:val="20"/>
                <w:szCs w:val="20"/>
              </w:rPr>
            </w:pPr>
            <w:r>
              <w:rPr>
                <w:i/>
                <w:sz w:val="20"/>
                <w:szCs w:val="20"/>
              </w:rPr>
              <w:t xml:space="preserve">E. coli </w:t>
            </w:r>
            <w:r>
              <w:rPr>
                <w:sz w:val="20"/>
                <w:szCs w:val="20"/>
              </w:rPr>
              <w:t>(in 25 g)</w:t>
            </w:r>
          </w:p>
        </w:tc>
        <w:tc>
          <w:tcPr>
            <w:tcW w:w="1731" w:type="dxa"/>
            <w:tcBorders>
              <w:top w:val="nil"/>
              <w:left w:val="nil"/>
              <w:bottom w:val="nil"/>
              <w:right w:val="nil"/>
            </w:tcBorders>
            <w:shd w:val="clear" w:color="auto" w:fill="ECECEC"/>
            <w:hideMark/>
          </w:tcPr>
          <w:p w14:paraId="12D8AEBB"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detected</w:t>
            </w:r>
          </w:p>
        </w:tc>
        <w:tc>
          <w:tcPr>
            <w:tcW w:w="1671" w:type="dxa"/>
            <w:tcBorders>
              <w:top w:val="nil"/>
              <w:left w:val="nil"/>
              <w:bottom w:val="nil"/>
              <w:right w:val="nil"/>
            </w:tcBorders>
            <w:shd w:val="clear" w:color="auto" w:fill="ECECEC"/>
            <w:hideMark/>
          </w:tcPr>
          <w:p w14:paraId="1DB401EB"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Absent </w:t>
            </w:r>
          </w:p>
        </w:tc>
        <w:tc>
          <w:tcPr>
            <w:tcW w:w="1594" w:type="dxa"/>
            <w:tcBorders>
              <w:top w:val="nil"/>
              <w:left w:val="nil"/>
              <w:bottom w:val="nil"/>
              <w:right w:val="nil"/>
            </w:tcBorders>
            <w:shd w:val="clear" w:color="auto" w:fill="ECECEC"/>
            <w:hideMark/>
          </w:tcPr>
          <w:p w14:paraId="1DBA60E0"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08" w:type="dxa"/>
            <w:tcBorders>
              <w:top w:val="nil"/>
              <w:left w:val="nil"/>
              <w:bottom w:val="nil"/>
              <w:right w:val="nil"/>
            </w:tcBorders>
            <w:shd w:val="clear" w:color="auto" w:fill="ECECEC"/>
            <w:hideMark/>
          </w:tcPr>
          <w:p w14:paraId="12233650" w14:textId="77777777" w:rsidR="002F196D" w:rsidRDefault="002F196D" w:rsidP="0021666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786501" w14:paraId="6CEA2505" w14:textId="77777777" w:rsidTr="00786501">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vAlign w:val="center"/>
          </w:tcPr>
          <w:p w14:paraId="6C3AFF5B" w14:textId="4E9B191E" w:rsidR="00786501" w:rsidRDefault="00786501" w:rsidP="00786501">
            <w:pPr>
              <w:spacing w:before="60" w:after="60"/>
              <w:rPr>
                <w:i/>
                <w:sz w:val="20"/>
                <w:szCs w:val="20"/>
              </w:rPr>
            </w:pPr>
            <w:r>
              <w:rPr>
                <w:sz w:val="20"/>
                <w:szCs w:val="20"/>
              </w:rPr>
              <w:t xml:space="preserve">Antibiotic activity </w:t>
            </w:r>
          </w:p>
        </w:tc>
        <w:tc>
          <w:tcPr>
            <w:tcW w:w="1731" w:type="dxa"/>
            <w:tcBorders>
              <w:top w:val="nil"/>
              <w:left w:val="nil"/>
              <w:bottom w:val="nil"/>
              <w:right w:val="nil"/>
            </w:tcBorders>
            <w:shd w:val="clear" w:color="auto" w:fill="ECECEC"/>
            <w:vAlign w:val="center"/>
          </w:tcPr>
          <w:p w14:paraId="2E632A2A" w14:textId="7C6C0A08" w:rsidR="00786501" w:rsidRDefault="00786501" w:rsidP="0078650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detected</w:t>
            </w:r>
          </w:p>
        </w:tc>
        <w:tc>
          <w:tcPr>
            <w:tcW w:w="1671" w:type="dxa"/>
            <w:tcBorders>
              <w:top w:val="nil"/>
              <w:left w:val="nil"/>
              <w:bottom w:val="nil"/>
              <w:right w:val="nil"/>
            </w:tcBorders>
            <w:shd w:val="clear" w:color="auto" w:fill="ECECEC"/>
            <w:vAlign w:val="center"/>
          </w:tcPr>
          <w:p w14:paraId="2D555A83" w14:textId="57C9D46F" w:rsidR="00786501" w:rsidRDefault="00786501" w:rsidP="0078650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594" w:type="dxa"/>
            <w:tcBorders>
              <w:top w:val="nil"/>
              <w:left w:val="nil"/>
              <w:bottom w:val="nil"/>
              <w:right w:val="nil"/>
            </w:tcBorders>
            <w:shd w:val="clear" w:color="auto" w:fill="ECECEC"/>
            <w:vAlign w:val="center"/>
          </w:tcPr>
          <w:p w14:paraId="3E7E117B" w14:textId="74E78628" w:rsidR="00786501" w:rsidRDefault="00786501" w:rsidP="0078650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08" w:type="dxa"/>
            <w:tcBorders>
              <w:top w:val="nil"/>
              <w:left w:val="nil"/>
              <w:bottom w:val="nil"/>
              <w:right w:val="nil"/>
            </w:tcBorders>
            <w:shd w:val="clear" w:color="auto" w:fill="ECECEC"/>
            <w:vAlign w:val="center"/>
          </w:tcPr>
          <w:p w14:paraId="057176E0" w14:textId="401A5E29" w:rsidR="00786501" w:rsidRDefault="00786501" w:rsidP="0078650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bl>
    <w:p w14:paraId="70608E3B" w14:textId="1A01EEDF" w:rsidR="002F196D" w:rsidRDefault="002F196D" w:rsidP="002F196D">
      <w:pPr>
        <w:rPr>
          <w:sz w:val="18"/>
          <w:szCs w:val="18"/>
          <w:lang w:eastAsia="en-AU" w:bidi="ar-SA"/>
        </w:rPr>
      </w:pPr>
      <w:r>
        <w:rPr>
          <w:sz w:val="18"/>
          <w:szCs w:val="18"/>
          <w:lang w:eastAsia="en-AU" w:bidi="ar-SA"/>
        </w:rPr>
        <w:t>* across three samples</w:t>
      </w:r>
    </w:p>
    <w:p w14:paraId="6C3E97E7" w14:textId="77777777" w:rsidR="002F196D" w:rsidRDefault="002F196D" w:rsidP="002F196D">
      <w:pPr>
        <w:widowControl/>
        <w:autoSpaceDE w:val="0"/>
        <w:autoSpaceDN w:val="0"/>
        <w:adjustRightInd w:val="0"/>
        <w:rPr>
          <w:lang w:eastAsia="en-AU"/>
        </w:rPr>
      </w:pPr>
    </w:p>
    <w:p w14:paraId="385667F6" w14:textId="2F6AC678" w:rsidR="002F196D" w:rsidRPr="00E266D6" w:rsidRDefault="002F196D" w:rsidP="002F196D">
      <w:pPr>
        <w:widowControl/>
        <w:autoSpaceDE w:val="0"/>
        <w:autoSpaceDN w:val="0"/>
        <w:adjustRightInd w:val="0"/>
        <w:rPr>
          <w:lang w:eastAsia="en-AU"/>
        </w:rPr>
      </w:pPr>
      <w:r w:rsidRPr="00E266D6">
        <w:rPr>
          <w:lang w:eastAsia="en-AU"/>
        </w:rPr>
        <w:t xml:space="preserve">Whilst </w:t>
      </w:r>
      <w:r w:rsidR="00C93AC5">
        <w:rPr>
          <w:lang w:eastAsia="en-AU"/>
        </w:rPr>
        <w:t>t</w:t>
      </w:r>
      <w:r w:rsidRPr="00E266D6">
        <w:rPr>
          <w:lang w:eastAsia="en-AU"/>
        </w:rPr>
        <w:t xml:space="preserve">he manufacturing processes ensure the production microorganism is removed from the final enzyme preparation, the food enzyme is a biological isolate of variable composition, containing the enzyme protein, as well as organic and inorganic material derived from the microorganism and fermentation process. </w:t>
      </w:r>
      <w:r w:rsidR="00501008">
        <w:rPr>
          <w:lang w:eastAsia="en-AU"/>
        </w:rPr>
        <w:t xml:space="preserve">Refer to </w:t>
      </w:r>
      <w:r w:rsidR="008D190D">
        <w:rPr>
          <w:lang w:eastAsia="en-AU"/>
        </w:rPr>
        <w:t xml:space="preserve">section 3.4 below </w:t>
      </w:r>
      <w:r w:rsidR="000B4854">
        <w:rPr>
          <w:lang w:eastAsia="en-AU"/>
        </w:rPr>
        <w:t>for the total organic solids (TOS) value.</w:t>
      </w:r>
      <w:r w:rsidRPr="00E266D6">
        <w:rPr>
          <w:lang w:eastAsia="en-AU"/>
        </w:rPr>
        <w:t xml:space="preserve"> </w:t>
      </w:r>
    </w:p>
    <w:p w14:paraId="425F7F8A" w14:textId="3EAE8867" w:rsidR="002F196D" w:rsidRPr="008D5EB8" w:rsidRDefault="002F196D" w:rsidP="008D5EB8">
      <w:pPr>
        <w:pStyle w:val="Heading2"/>
      </w:pPr>
      <w:bookmarkStart w:id="67" w:name="_Toc99464552"/>
      <w:bookmarkStart w:id="68" w:name="_Toc99458049"/>
      <w:bookmarkStart w:id="69" w:name="_Toc103671974"/>
      <w:r>
        <w:t>2.3</w:t>
      </w:r>
      <w:r w:rsidRPr="001D1FB4">
        <w:tab/>
      </w:r>
      <w:r>
        <w:t>Technological purpose of the enzyme</w:t>
      </w:r>
      <w:bookmarkEnd w:id="67"/>
      <w:bookmarkEnd w:id="68"/>
      <w:bookmarkEnd w:id="69"/>
    </w:p>
    <w:bookmarkEnd w:id="50"/>
    <w:p w14:paraId="713AC551" w14:textId="22B0BD46" w:rsidR="004A4290" w:rsidRDefault="00BF427E" w:rsidP="00921D89">
      <w:pPr>
        <w:widowControl/>
        <w:autoSpaceDE w:val="0"/>
        <w:autoSpaceDN w:val="0"/>
        <w:adjustRightInd w:val="0"/>
        <w:rPr>
          <w:szCs w:val="22"/>
        </w:rPr>
      </w:pPr>
      <w:r>
        <w:rPr>
          <w:lang w:eastAsia="en-AU" w:bidi="ar-SA"/>
        </w:rPr>
        <w:t>Under the current application, p</w:t>
      </w:r>
      <w:r w:rsidR="00D00278">
        <w:rPr>
          <w:szCs w:val="22"/>
        </w:rPr>
        <w:t xml:space="preserve">olygalacturonase is intended for use </w:t>
      </w:r>
      <w:r w:rsidR="00955BD6">
        <w:rPr>
          <w:szCs w:val="22"/>
        </w:rPr>
        <w:t xml:space="preserve">to </w:t>
      </w:r>
      <w:r w:rsidR="00AE0C6E">
        <w:rPr>
          <w:szCs w:val="22"/>
        </w:rPr>
        <w:t xml:space="preserve">in the production of </w:t>
      </w:r>
      <w:r w:rsidR="00955BD6">
        <w:rPr>
          <w:szCs w:val="22"/>
        </w:rPr>
        <w:t>a number of</w:t>
      </w:r>
      <w:r w:rsidR="00D00278">
        <w:rPr>
          <w:szCs w:val="22"/>
        </w:rPr>
        <w:t xml:space="preserve"> </w:t>
      </w:r>
      <w:r w:rsidR="00AE0C6E">
        <w:rPr>
          <w:szCs w:val="22"/>
        </w:rPr>
        <w:t xml:space="preserve">specific </w:t>
      </w:r>
      <w:r w:rsidR="00D00278">
        <w:rPr>
          <w:szCs w:val="22"/>
        </w:rPr>
        <w:t xml:space="preserve">products </w:t>
      </w:r>
      <w:r w:rsidR="00955BD6">
        <w:rPr>
          <w:szCs w:val="22"/>
        </w:rPr>
        <w:t>(refer to section 3.2.1 below).</w:t>
      </w:r>
      <w:r w:rsidR="004A4290">
        <w:rPr>
          <w:szCs w:val="22"/>
        </w:rPr>
        <w:br w:type="page"/>
      </w:r>
    </w:p>
    <w:p w14:paraId="66391232" w14:textId="1C6531F8" w:rsidR="0092306E" w:rsidRDefault="00AE0C6E" w:rsidP="00D00278">
      <w:pPr>
        <w:widowControl/>
        <w:autoSpaceDE w:val="0"/>
        <w:autoSpaceDN w:val="0"/>
        <w:adjustRightInd w:val="0"/>
        <w:rPr>
          <w:rFonts w:eastAsia="Calibri" w:cs="Arial"/>
          <w:szCs w:val="22"/>
          <w:lang w:bidi="ar-SA"/>
        </w:rPr>
      </w:pPr>
      <w:r>
        <w:rPr>
          <w:szCs w:val="22"/>
        </w:rPr>
        <w:lastRenderedPageBreak/>
        <w:t>P</w:t>
      </w:r>
      <w:r w:rsidR="004123CF">
        <w:rPr>
          <w:szCs w:val="22"/>
        </w:rPr>
        <w:t>olygalacturonase is a pectin-degrading enzyme (along with pectat</w:t>
      </w:r>
      <w:r w:rsidR="003A6779">
        <w:rPr>
          <w:szCs w:val="22"/>
        </w:rPr>
        <w:t>e and pectin lyases, and pectin</w:t>
      </w:r>
      <w:r w:rsidR="004123CF">
        <w:rPr>
          <w:szCs w:val="22"/>
        </w:rPr>
        <w:t>esterase</w:t>
      </w:r>
      <w:r w:rsidR="00DF564D">
        <w:rPr>
          <w:szCs w:val="22"/>
        </w:rPr>
        <w:t>)</w:t>
      </w:r>
      <w:r w:rsidR="004123CF">
        <w:rPr>
          <w:szCs w:val="22"/>
        </w:rPr>
        <w:t xml:space="preserve">. These enzymes are often collectively called ‘pectinases’ </w:t>
      </w:r>
      <w:r w:rsidR="00DF564D">
        <w:rPr>
          <w:szCs w:val="22"/>
        </w:rPr>
        <w:t xml:space="preserve">and are </w:t>
      </w:r>
      <w:r w:rsidR="004123CF">
        <w:rPr>
          <w:szCs w:val="22"/>
        </w:rPr>
        <w:t xml:space="preserve">typically found in plants and microorganisms (especially fungi). </w:t>
      </w:r>
      <w:r w:rsidR="00DF564D">
        <w:rPr>
          <w:rFonts w:eastAsia="Calibri" w:cs="Arial"/>
          <w:szCs w:val="22"/>
          <w:lang w:bidi="ar-SA"/>
        </w:rPr>
        <w:t>They are a mixture of enzymes that act on pectic substances (plant polysaccharides that maintain the integrity of the cell wall or middle lamella).</w:t>
      </w:r>
    </w:p>
    <w:p w14:paraId="1302CCEE" w14:textId="4CBC1331" w:rsidR="00BF427E" w:rsidRDefault="00BF427E" w:rsidP="00D00278">
      <w:pPr>
        <w:widowControl/>
        <w:autoSpaceDE w:val="0"/>
        <w:autoSpaceDN w:val="0"/>
        <w:adjustRightInd w:val="0"/>
        <w:rPr>
          <w:rFonts w:eastAsia="Calibri" w:cs="Arial"/>
          <w:szCs w:val="22"/>
          <w:lang w:bidi="ar-SA"/>
        </w:rPr>
      </w:pPr>
    </w:p>
    <w:p w14:paraId="47F669C1" w14:textId="58455EEF" w:rsidR="0092306E" w:rsidRDefault="00BF427E" w:rsidP="00D00278">
      <w:pPr>
        <w:widowControl/>
        <w:autoSpaceDE w:val="0"/>
        <w:autoSpaceDN w:val="0"/>
        <w:adjustRightInd w:val="0"/>
      </w:pPr>
      <w:r>
        <w:t>As identified by the IUMBM (IUMBM 2022), p</w:t>
      </w:r>
      <w:r w:rsidR="00D00278">
        <w:t>olygalacturonase catalyses the random hydrolysis of (1→4)-α-</w:t>
      </w:r>
      <w:r w:rsidR="00D00278">
        <w:rPr>
          <w:sz w:val="20"/>
          <w:szCs w:val="20"/>
        </w:rPr>
        <w:t>D</w:t>
      </w:r>
      <w:r w:rsidR="00D00278">
        <w:t xml:space="preserve">-galactosiduronic linkages in </w:t>
      </w:r>
      <w:r>
        <w:t xml:space="preserve">pectate and other galacturonans. </w:t>
      </w:r>
      <w:r w:rsidR="004A4290">
        <w:t>This</w:t>
      </w:r>
      <w:r w:rsidR="004123CF">
        <w:t xml:space="preserve"> result</w:t>
      </w:r>
      <w:r w:rsidR="004A4290">
        <w:t>s in</w:t>
      </w:r>
      <w:r w:rsidR="004123CF">
        <w:t xml:space="preserve"> depolymerisation of pectin. As stated in the application, the practical outcome of such activity is that intercellular </w:t>
      </w:r>
      <w:r w:rsidR="00DF564D">
        <w:t>barriers</w:t>
      </w:r>
      <w:r w:rsidR="004123CF">
        <w:t xml:space="preserve"> (</w:t>
      </w:r>
      <w:r w:rsidR="00DF564D">
        <w:t>middle lamella) are broken down.</w:t>
      </w:r>
    </w:p>
    <w:p w14:paraId="03055CCB" w14:textId="2B21BA57" w:rsidR="00DF564D" w:rsidRDefault="00DF564D" w:rsidP="00D00278">
      <w:pPr>
        <w:widowControl/>
        <w:autoSpaceDE w:val="0"/>
        <w:autoSpaceDN w:val="0"/>
        <w:adjustRightInd w:val="0"/>
      </w:pPr>
    </w:p>
    <w:p w14:paraId="69A4811F" w14:textId="044D2B0B" w:rsidR="00D62874" w:rsidRDefault="00D62874" w:rsidP="00D00278">
      <w:pPr>
        <w:widowControl/>
        <w:autoSpaceDE w:val="0"/>
        <w:autoSpaceDN w:val="0"/>
        <w:adjustRightInd w:val="0"/>
      </w:pPr>
      <w:r>
        <w:t xml:space="preserve">The application describes the two classes </w:t>
      </w:r>
      <w:r w:rsidR="00F26118">
        <w:t xml:space="preserve">of </w:t>
      </w:r>
      <w:r>
        <w:t xml:space="preserve">pectinases – namely </w:t>
      </w:r>
      <w:r w:rsidR="003A6779">
        <w:t xml:space="preserve">pectin depolymerases </w:t>
      </w:r>
      <w:r w:rsidR="000A6494">
        <w:t xml:space="preserve">(further classified as polygalacturonases and pectin lyases) </w:t>
      </w:r>
      <w:r w:rsidR="003A6779">
        <w:t>and pectin</w:t>
      </w:r>
      <w:r>
        <w:t xml:space="preserve">esterases. Polygalacturonase is a pectin depolymerase (it splits </w:t>
      </w:r>
      <w:r w:rsidR="003A6779">
        <w:t>the main chain), whereas pectin</w:t>
      </w:r>
      <w:r>
        <w:t xml:space="preserve">esterase </w:t>
      </w:r>
      <w:r w:rsidR="000A6494">
        <w:t>(under A1241)</w:t>
      </w:r>
      <w:r>
        <w:t xml:space="preserve"> has the ability to de-esterify pectin by the removal of methoxy residues. Polygalacturonase causes a reduction in viscosity of a pectic substrate.</w:t>
      </w:r>
      <w:r w:rsidR="00094FA9">
        <w:t xml:space="preserve"> As explained in the application, several enzymes are sometimes used simultaneously, to achiev</w:t>
      </w:r>
      <w:r w:rsidR="006842E6">
        <w:t>e complete pectin degradation.</w:t>
      </w:r>
    </w:p>
    <w:p w14:paraId="3ACB5B1A" w14:textId="77777777" w:rsidR="00D00278" w:rsidRDefault="00D00278" w:rsidP="00D00278"/>
    <w:p w14:paraId="43BD2872" w14:textId="73192123" w:rsidR="008B4238" w:rsidRPr="00DF564D" w:rsidRDefault="00D00278" w:rsidP="008B4238">
      <w:r w:rsidRPr="00DF564D">
        <w:t xml:space="preserve">The </w:t>
      </w:r>
      <w:r w:rsidR="00DF564D" w:rsidRPr="00DF564D">
        <w:t xml:space="preserve">stated technological purpose </w:t>
      </w:r>
      <w:r w:rsidRPr="00DF564D">
        <w:t>of the polygalacturonase enzyme</w:t>
      </w:r>
      <w:r w:rsidR="00DF564D" w:rsidRPr="00DF564D">
        <w:t xml:space="preserve"> </w:t>
      </w:r>
      <w:r w:rsidRPr="00DF564D">
        <w:t>is supported by scientific literature (e.g.</w:t>
      </w:r>
      <w:r w:rsidR="00DF564D" w:rsidRPr="00DF564D">
        <w:rPr>
          <w:szCs w:val="22"/>
        </w:rPr>
        <w:t xml:space="preserve"> Damodaran et al, 2008</w:t>
      </w:r>
      <w:r w:rsidR="006842E6">
        <w:rPr>
          <w:szCs w:val="22"/>
        </w:rPr>
        <w:t>;</w:t>
      </w:r>
      <w:r w:rsidR="00DF564D" w:rsidRPr="00DF564D">
        <w:rPr>
          <w:szCs w:val="22"/>
        </w:rPr>
        <w:t xml:space="preserve"> </w:t>
      </w:r>
      <w:r w:rsidR="006842E6">
        <w:t>Nagodawithana and Reed,1993).</w:t>
      </w:r>
    </w:p>
    <w:p w14:paraId="4433713C" w14:textId="77777777" w:rsidR="008B4238" w:rsidRPr="008B4238" w:rsidRDefault="008B4238" w:rsidP="008B4238">
      <w:pPr>
        <w:rPr>
          <w:highlight w:val="yellow"/>
        </w:rPr>
      </w:pPr>
    </w:p>
    <w:p w14:paraId="629E738E" w14:textId="46DBCA5A" w:rsidR="00D00278" w:rsidRDefault="00D00278" w:rsidP="00D00278">
      <w:pPr>
        <w:rPr>
          <w:lang w:eastAsia="en-AU" w:bidi="ar-SA"/>
        </w:rPr>
      </w:pPr>
      <w:r>
        <w:rPr>
          <w:lang w:eastAsia="en-AU" w:bidi="ar-SA"/>
        </w:rPr>
        <w:t>The applicant provided information on the physical and chemical properties of</w:t>
      </w:r>
      <w:r w:rsidR="008B4238">
        <w:rPr>
          <w:lang w:eastAsia="en-AU" w:bidi="ar-SA"/>
        </w:rPr>
        <w:t xml:space="preserve"> the enzyme preparation. Table 3</w:t>
      </w:r>
      <w:r>
        <w:rPr>
          <w:lang w:eastAsia="en-AU" w:bidi="ar-SA"/>
        </w:rPr>
        <w:t xml:space="preserve"> summarises this information.</w:t>
      </w:r>
    </w:p>
    <w:p w14:paraId="163DF019" w14:textId="7ABA3603" w:rsidR="00D00278" w:rsidRDefault="00D00278" w:rsidP="00D00278">
      <w:pPr>
        <w:rPr>
          <w:lang w:eastAsia="en-AU" w:bidi="ar-SA"/>
        </w:rPr>
      </w:pPr>
    </w:p>
    <w:p w14:paraId="77E02A58" w14:textId="05248E9B" w:rsidR="00D00278" w:rsidRDefault="008B4238" w:rsidP="00D00278">
      <w:pPr>
        <w:pStyle w:val="FSTableTitle"/>
        <w:keepNext/>
        <w:keepLines/>
        <w:spacing w:after="240"/>
        <w:ind w:left="1134" w:hanging="1134"/>
        <w:rPr>
          <w:b w:val="0"/>
          <w:i/>
          <w:sz w:val="24"/>
        </w:rPr>
      </w:pPr>
      <w:r>
        <w:rPr>
          <w:i/>
        </w:rPr>
        <w:t>Table 3</w:t>
      </w:r>
      <w:r w:rsidR="00D00278">
        <w:rPr>
          <w:i/>
          <w:szCs w:val="20"/>
        </w:rPr>
        <w:tab/>
      </w:r>
      <w:r w:rsidR="00D00278">
        <w:rPr>
          <w:b w:val="0"/>
          <w:i/>
        </w:rPr>
        <w:t xml:space="preserve">Physical and chemical properties of </w:t>
      </w:r>
      <w:r w:rsidR="00DF564D">
        <w:rPr>
          <w:b w:val="0"/>
          <w:i/>
        </w:rPr>
        <w:t>polygalacturonase</w:t>
      </w:r>
      <w:r w:rsidR="00D00278">
        <w:rPr>
          <w:b w:val="0"/>
          <w:i/>
        </w:rPr>
        <w:t xml:space="preserve"> enzyme preparation</w:t>
      </w:r>
    </w:p>
    <w:tbl>
      <w:tblPr>
        <w:tblStyle w:val="Table"/>
        <w:tblW w:w="9498" w:type="dxa"/>
        <w:tblLayout w:type="fixed"/>
        <w:tblLook w:val="04A0" w:firstRow="1" w:lastRow="0" w:firstColumn="1" w:lastColumn="0" w:noHBand="0" w:noVBand="1"/>
        <w:tblCaption w:val="Alpha-amylase enzyme preparation physical/chemical properties"/>
      </w:tblPr>
      <w:tblGrid>
        <w:gridCol w:w="2943"/>
        <w:gridCol w:w="6555"/>
      </w:tblGrid>
      <w:tr w:rsidR="00D00278" w14:paraId="4C0D0478" w14:textId="77777777" w:rsidTr="008F24A5">
        <w:trPr>
          <w:cnfStyle w:val="100000000000" w:firstRow="1" w:lastRow="0" w:firstColumn="0" w:lastColumn="0" w:oddVBand="0" w:evenVBand="0" w:oddHBand="0" w:evenHBand="0" w:firstRowFirstColumn="0" w:firstRowLastColumn="0" w:lastRowFirstColumn="0" w:lastRowLastColumn="0"/>
          <w:trHeight w:val="108"/>
        </w:trPr>
        <w:tc>
          <w:tcPr>
            <w:tcW w:w="9498" w:type="dxa"/>
            <w:gridSpan w:val="2"/>
            <w:tcBorders>
              <w:top w:val="nil"/>
              <w:left w:val="nil"/>
              <w:bottom w:val="nil"/>
              <w:right w:val="nil"/>
            </w:tcBorders>
            <w:shd w:val="clear" w:color="auto" w:fill="7F7F7F" w:themeFill="text1" w:themeFillTint="80"/>
            <w:hideMark/>
          </w:tcPr>
          <w:p w14:paraId="6DC57B03" w14:textId="77777777" w:rsidR="00D00278" w:rsidRDefault="00D00278">
            <w:pPr>
              <w:jc w:val="center"/>
              <w:rPr>
                <w:b w:val="0"/>
                <w:sz w:val="20"/>
                <w:highlight w:val="yellow"/>
                <w:lang w:eastAsia="en-GB"/>
              </w:rPr>
            </w:pPr>
            <w:r>
              <w:rPr>
                <w:b w:val="0"/>
                <w:sz w:val="20"/>
                <w:lang w:eastAsia="en-GB"/>
              </w:rPr>
              <w:t>Physical and chemical properties of commercial enzyme preparation</w:t>
            </w:r>
          </w:p>
        </w:tc>
      </w:tr>
      <w:tr w:rsidR="00D00278" w14:paraId="2AAC3842" w14:textId="77777777" w:rsidTr="008F24A5">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2A715C77" w14:textId="77777777" w:rsidR="00D00278" w:rsidRDefault="00D00278">
            <w:pPr>
              <w:autoSpaceDE w:val="0"/>
              <w:autoSpaceDN w:val="0"/>
              <w:adjustRightInd w:val="0"/>
              <w:rPr>
                <w:rFonts w:cs="Arial"/>
                <w:sz w:val="20"/>
                <w:szCs w:val="20"/>
              </w:rPr>
            </w:pPr>
            <w:r>
              <w:rPr>
                <w:rFonts w:cs="Arial"/>
                <w:sz w:val="20"/>
                <w:szCs w:val="20"/>
              </w:rPr>
              <w:t>Enzyme activity</w:t>
            </w:r>
          </w:p>
        </w:tc>
        <w:tc>
          <w:tcPr>
            <w:tcW w:w="6555" w:type="dxa"/>
            <w:tcBorders>
              <w:top w:val="nil"/>
              <w:left w:val="nil"/>
              <w:bottom w:val="nil"/>
              <w:right w:val="nil"/>
            </w:tcBorders>
            <w:hideMark/>
          </w:tcPr>
          <w:p w14:paraId="59F51825" w14:textId="26CDBF50" w:rsidR="00D00278" w:rsidRDefault="00D00278" w:rsidP="00D00278">
            <w:pPr>
              <w:autoSpaceDE w:val="0"/>
              <w:autoSpaceDN w:val="0"/>
              <w:adjustRightInd w:val="0"/>
              <w:rPr>
                <w:rFonts w:cs="Arial"/>
                <w:sz w:val="20"/>
                <w:szCs w:val="20"/>
              </w:rPr>
            </w:pPr>
            <w:r>
              <w:rPr>
                <w:rFonts w:cs="Arial"/>
                <w:sz w:val="20"/>
                <w:szCs w:val="20"/>
              </w:rPr>
              <w:t>Minimum polygalacturonase activity 75,000 PGU/mg* (from three batches)</w:t>
            </w:r>
          </w:p>
        </w:tc>
      </w:tr>
      <w:tr w:rsidR="00D00278" w14:paraId="4812D701" w14:textId="77777777" w:rsidTr="008F24A5">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hideMark/>
          </w:tcPr>
          <w:p w14:paraId="2BF6F646" w14:textId="77777777" w:rsidR="00D00278" w:rsidRDefault="00D00278">
            <w:pPr>
              <w:autoSpaceDE w:val="0"/>
              <w:autoSpaceDN w:val="0"/>
              <w:adjustRightInd w:val="0"/>
              <w:rPr>
                <w:rFonts w:cs="Arial"/>
                <w:sz w:val="20"/>
                <w:szCs w:val="20"/>
              </w:rPr>
            </w:pPr>
            <w:r>
              <w:rPr>
                <w:rFonts w:cs="Arial"/>
                <w:sz w:val="20"/>
                <w:szCs w:val="20"/>
              </w:rPr>
              <w:t>Appearance</w:t>
            </w:r>
          </w:p>
        </w:tc>
        <w:tc>
          <w:tcPr>
            <w:tcW w:w="6555" w:type="dxa"/>
            <w:tcBorders>
              <w:top w:val="nil"/>
              <w:left w:val="nil"/>
              <w:bottom w:val="nil"/>
              <w:right w:val="nil"/>
            </w:tcBorders>
            <w:hideMark/>
          </w:tcPr>
          <w:p w14:paraId="3C529B0B" w14:textId="7D23D691" w:rsidR="00D00278" w:rsidRDefault="00395438" w:rsidP="00395438">
            <w:pPr>
              <w:autoSpaceDE w:val="0"/>
              <w:autoSpaceDN w:val="0"/>
              <w:adjustRightInd w:val="0"/>
              <w:rPr>
                <w:rFonts w:cs="Arial"/>
                <w:sz w:val="20"/>
                <w:szCs w:val="20"/>
              </w:rPr>
            </w:pPr>
            <w:r>
              <w:rPr>
                <w:rFonts w:cs="Arial"/>
                <w:sz w:val="20"/>
                <w:szCs w:val="20"/>
              </w:rPr>
              <w:t>B</w:t>
            </w:r>
            <w:r w:rsidR="00D00278">
              <w:rPr>
                <w:rFonts w:cs="Arial"/>
                <w:sz w:val="20"/>
                <w:szCs w:val="20"/>
              </w:rPr>
              <w:t xml:space="preserve">rown </w:t>
            </w:r>
            <w:r w:rsidR="00AE0C6E">
              <w:rPr>
                <w:rFonts w:cs="Arial"/>
                <w:sz w:val="20"/>
                <w:szCs w:val="20"/>
              </w:rPr>
              <w:t xml:space="preserve">coloured </w:t>
            </w:r>
            <w:r w:rsidR="00D00278">
              <w:rPr>
                <w:rFonts w:cs="Arial"/>
                <w:sz w:val="20"/>
                <w:szCs w:val="20"/>
              </w:rPr>
              <w:t>liquid</w:t>
            </w:r>
          </w:p>
        </w:tc>
      </w:tr>
      <w:tr w:rsidR="00D00278" w14:paraId="5A029BE1" w14:textId="77777777" w:rsidTr="008F24A5">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15CF0B52" w14:textId="0C5A0790" w:rsidR="00D00278" w:rsidRDefault="00267DBF">
            <w:pPr>
              <w:autoSpaceDE w:val="0"/>
              <w:autoSpaceDN w:val="0"/>
              <w:adjustRightInd w:val="0"/>
              <w:rPr>
                <w:rFonts w:cs="Arial"/>
                <w:sz w:val="20"/>
                <w:szCs w:val="20"/>
              </w:rPr>
            </w:pPr>
            <w:r>
              <w:rPr>
                <w:rFonts w:cs="Arial"/>
                <w:sz w:val="20"/>
                <w:szCs w:val="20"/>
              </w:rPr>
              <w:t>Storage conditions</w:t>
            </w:r>
          </w:p>
        </w:tc>
        <w:tc>
          <w:tcPr>
            <w:tcW w:w="6555" w:type="dxa"/>
            <w:tcBorders>
              <w:top w:val="nil"/>
              <w:left w:val="nil"/>
              <w:bottom w:val="nil"/>
              <w:right w:val="nil"/>
            </w:tcBorders>
            <w:hideMark/>
          </w:tcPr>
          <w:p w14:paraId="42F206FB" w14:textId="56E44DBC" w:rsidR="00D00278" w:rsidRDefault="008F24A5">
            <w:pPr>
              <w:autoSpaceDE w:val="0"/>
              <w:autoSpaceDN w:val="0"/>
              <w:adjustRightInd w:val="0"/>
              <w:rPr>
                <w:rFonts w:cs="Arial"/>
                <w:sz w:val="20"/>
                <w:szCs w:val="20"/>
              </w:rPr>
            </w:pPr>
            <w:r>
              <w:rPr>
                <w:rFonts w:cs="Arial"/>
                <w:sz w:val="20"/>
                <w:szCs w:val="20"/>
              </w:rPr>
              <w:t>Store below 10</w:t>
            </w:r>
            <w:r w:rsidR="00D00278">
              <w:rPr>
                <w:rFonts w:cs="Arial"/>
                <w:sz w:val="20"/>
                <w:szCs w:val="20"/>
              </w:rPr>
              <w:t xml:space="preserve">°C. </w:t>
            </w:r>
          </w:p>
        </w:tc>
      </w:tr>
      <w:tr w:rsidR="00D00278" w14:paraId="3E021554" w14:textId="77777777" w:rsidTr="008F24A5">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hideMark/>
          </w:tcPr>
          <w:p w14:paraId="41C21A03" w14:textId="77777777" w:rsidR="00D00278" w:rsidRDefault="00D00278">
            <w:pPr>
              <w:autoSpaceDE w:val="0"/>
              <w:autoSpaceDN w:val="0"/>
              <w:adjustRightInd w:val="0"/>
              <w:rPr>
                <w:rFonts w:cs="Arial"/>
                <w:sz w:val="20"/>
                <w:szCs w:val="20"/>
              </w:rPr>
            </w:pPr>
            <w:r>
              <w:rPr>
                <w:rFonts w:cs="Arial"/>
                <w:sz w:val="20"/>
                <w:szCs w:val="20"/>
              </w:rPr>
              <w:t>Storage stability</w:t>
            </w:r>
          </w:p>
        </w:tc>
        <w:tc>
          <w:tcPr>
            <w:tcW w:w="6555" w:type="dxa"/>
            <w:tcBorders>
              <w:top w:val="nil"/>
              <w:left w:val="nil"/>
              <w:bottom w:val="nil"/>
              <w:right w:val="nil"/>
            </w:tcBorders>
            <w:hideMark/>
          </w:tcPr>
          <w:p w14:paraId="4E6CC659" w14:textId="08266728" w:rsidR="00D00278" w:rsidRDefault="008F24A5" w:rsidP="008F24A5">
            <w:pPr>
              <w:autoSpaceDE w:val="0"/>
              <w:autoSpaceDN w:val="0"/>
              <w:adjustRightInd w:val="0"/>
              <w:rPr>
                <w:rFonts w:cs="Arial"/>
                <w:sz w:val="20"/>
                <w:szCs w:val="20"/>
              </w:rPr>
            </w:pPr>
            <w:r>
              <w:rPr>
                <w:rFonts w:cs="Arial"/>
                <w:sz w:val="20"/>
                <w:szCs w:val="20"/>
              </w:rPr>
              <w:t>Three year shelf life at 10</w:t>
            </w:r>
            <w:r w:rsidR="00D00278">
              <w:rPr>
                <w:rFonts w:cs="Arial"/>
                <w:sz w:val="20"/>
                <w:szCs w:val="20"/>
              </w:rPr>
              <w:t>°C</w:t>
            </w:r>
          </w:p>
        </w:tc>
      </w:tr>
      <w:tr w:rsidR="008F24A5" w14:paraId="489E89CB" w14:textId="77777777" w:rsidTr="008F24A5">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single" w:sz="4" w:space="0" w:color="F3F3F3"/>
              <w:right w:val="nil"/>
            </w:tcBorders>
          </w:tcPr>
          <w:p w14:paraId="31290352" w14:textId="476E11D1" w:rsidR="008F24A5" w:rsidRDefault="008F24A5">
            <w:pPr>
              <w:autoSpaceDE w:val="0"/>
              <w:autoSpaceDN w:val="0"/>
              <w:adjustRightInd w:val="0"/>
              <w:rPr>
                <w:rFonts w:cs="Arial"/>
                <w:sz w:val="20"/>
                <w:szCs w:val="20"/>
              </w:rPr>
            </w:pPr>
            <w:r>
              <w:rPr>
                <w:rFonts w:cs="Arial"/>
                <w:sz w:val="20"/>
                <w:szCs w:val="20"/>
              </w:rPr>
              <w:t>Density</w:t>
            </w:r>
          </w:p>
        </w:tc>
        <w:tc>
          <w:tcPr>
            <w:tcW w:w="6555" w:type="dxa"/>
            <w:tcBorders>
              <w:top w:val="nil"/>
              <w:left w:val="nil"/>
              <w:bottom w:val="single" w:sz="4" w:space="0" w:color="F3F3F3"/>
              <w:right w:val="nil"/>
            </w:tcBorders>
          </w:tcPr>
          <w:p w14:paraId="0D7124D4" w14:textId="03F93D73" w:rsidR="008F24A5" w:rsidRDefault="008F24A5" w:rsidP="008F24A5">
            <w:pPr>
              <w:autoSpaceDE w:val="0"/>
              <w:autoSpaceDN w:val="0"/>
              <w:adjustRightInd w:val="0"/>
              <w:rPr>
                <w:rFonts w:cs="Arial"/>
                <w:sz w:val="20"/>
                <w:szCs w:val="20"/>
              </w:rPr>
            </w:pPr>
            <w:r>
              <w:rPr>
                <w:rFonts w:cs="Arial"/>
                <w:sz w:val="20"/>
                <w:szCs w:val="20"/>
              </w:rPr>
              <w:t>1.1 g/ml</w:t>
            </w:r>
          </w:p>
        </w:tc>
      </w:tr>
    </w:tbl>
    <w:p w14:paraId="3D2293AA" w14:textId="634B8C37" w:rsidR="0092306E" w:rsidRDefault="00D00278" w:rsidP="00D00278">
      <w:pPr>
        <w:rPr>
          <w:sz w:val="20"/>
          <w:szCs w:val="20"/>
        </w:rPr>
      </w:pPr>
      <w:r>
        <w:rPr>
          <w:sz w:val="20"/>
          <w:szCs w:val="20"/>
        </w:rPr>
        <w:t>*</w:t>
      </w:r>
      <w:r w:rsidR="005F6F07">
        <w:rPr>
          <w:sz w:val="20"/>
          <w:szCs w:val="20"/>
        </w:rPr>
        <w:t>Assay of polygalacturonase activity (</w:t>
      </w:r>
      <w:r w:rsidR="00F428CA" w:rsidRPr="00F428CA">
        <w:rPr>
          <w:sz w:val="20"/>
          <w:szCs w:val="20"/>
        </w:rPr>
        <w:t xml:space="preserve">AB Enzymes </w:t>
      </w:r>
      <w:r w:rsidR="005F6F07">
        <w:rPr>
          <w:sz w:val="20"/>
          <w:szCs w:val="20"/>
        </w:rPr>
        <w:t>internal method)</w:t>
      </w:r>
    </w:p>
    <w:p w14:paraId="644F0A85" w14:textId="3004FF7A" w:rsidR="00A57C62" w:rsidRDefault="00A57C62" w:rsidP="00D00278">
      <w:pPr>
        <w:rPr>
          <w:sz w:val="20"/>
          <w:szCs w:val="20"/>
        </w:rPr>
      </w:pPr>
    </w:p>
    <w:p w14:paraId="12CD6BC2" w14:textId="68CD0B48" w:rsidR="00A57C62" w:rsidRDefault="00A57C62" w:rsidP="00A57C62">
      <w:pPr>
        <w:widowControl/>
        <w:autoSpaceDE w:val="0"/>
        <w:autoSpaceDN w:val="0"/>
        <w:adjustRightInd w:val="0"/>
        <w:rPr>
          <w:lang w:eastAsia="en-AU" w:bidi="ar-SA"/>
        </w:rPr>
      </w:pPr>
      <w:r>
        <w:rPr>
          <w:lang w:eastAsia="en-AU" w:bidi="ar-SA"/>
        </w:rPr>
        <w:t>Polygalacturonase (from three non-GM sources)</w:t>
      </w:r>
      <w:r w:rsidRPr="00DC06C8">
        <w:rPr>
          <w:lang w:eastAsia="en-AU" w:bidi="ar-SA"/>
        </w:rPr>
        <w:t xml:space="preserve"> is approved for use in the manufacture of foods since it is listed in subsection S18—4(5).</w:t>
      </w:r>
    </w:p>
    <w:p w14:paraId="52FC6747" w14:textId="298520FA" w:rsidR="003F6622" w:rsidRPr="008D5EB8" w:rsidRDefault="003F6622" w:rsidP="008D5EB8">
      <w:pPr>
        <w:pStyle w:val="Heading2"/>
      </w:pPr>
      <w:bookmarkStart w:id="70" w:name="_Toc99464553"/>
      <w:bookmarkStart w:id="71" w:name="_Toc99458050"/>
      <w:bookmarkStart w:id="72" w:name="_Toc103671975"/>
      <w:r>
        <w:t>2.4</w:t>
      </w:r>
      <w:r w:rsidRPr="001D1FB4">
        <w:tab/>
      </w:r>
      <w:r>
        <w:t>Technological justification</w:t>
      </w:r>
      <w:bookmarkEnd w:id="70"/>
      <w:bookmarkEnd w:id="71"/>
      <w:bookmarkEnd w:id="72"/>
    </w:p>
    <w:p w14:paraId="722C0B0F" w14:textId="176B3B90" w:rsidR="0092306E" w:rsidRDefault="008B4238" w:rsidP="003F6622">
      <w:r>
        <w:rPr>
          <w:lang w:eastAsia="en-AU" w:bidi="ar-SA"/>
        </w:rPr>
        <w:t xml:space="preserve">As outlined above, </w:t>
      </w:r>
      <w:r w:rsidR="00B40CD5">
        <w:t xml:space="preserve">the technological need of the enzymatic conversion of pectin with the help of </w:t>
      </w:r>
      <w:r w:rsidR="00B40CD5">
        <w:rPr>
          <w:rFonts w:cs="Arial"/>
        </w:rPr>
        <w:t>polygalacturonase</w:t>
      </w:r>
      <w:r w:rsidR="00B40CD5">
        <w:t xml:space="preserve"> can be described as </w:t>
      </w:r>
      <w:r w:rsidR="00A57C62">
        <w:t>enabling the</w:t>
      </w:r>
      <w:r w:rsidR="00B40CD5">
        <w:t xml:space="preserve"> degradation of pectin</w:t>
      </w:r>
      <w:r w:rsidR="00FF2178">
        <w:t>. Pectin</w:t>
      </w:r>
      <w:r w:rsidR="00B40CD5">
        <w:t xml:space="preserve"> causes technical difficulties </w:t>
      </w:r>
      <w:r w:rsidR="00F95F85">
        <w:t xml:space="preserve">during food production </w:t>
      </w:r>
      <w:r w:rsidR="00B40CD5">
        <w:t>due to its high viscosity and gelling properties in processing raw materials that contain this component.</w:t>
      </w:r>
    </w:p>
    <w:p w14:paraId="73FDFA44" w14:textId="3C430538" w:rsidR="00D62874" w:rsidRDefault="00D62874" w:rsidP="00B40CD5"/>
    <w:p w14:paraId="31674E7D" w14:textId="1ADD356C" w:rsidR="008A6203" w:rsidRDefault="008B4238" w:rsidP="008A6203">
      <w:pPr>
        <w:rPr>
          <w:lang w:eastAsia="en-AU" w:bidi="ar-SA"/>
        </w:rPr>
      </w:pPr>
      <w:r>
        <w:rPr>
          <w:lang w:eastAsia="en-AU" w:bidi="ar-SA"/>
        </w:rPr>
        <w:t xml:space="preserve">The enzyme performs its function of catalysing the hydrolysis of </w:t>
      </w:r>
      <w:r w:rsidR="00D62874">
        <w:rPr>
          <w:lang w:eastAsia="en-AU" w:bidi="ar-SA"/>
        </w:rPr>
        <w:t>pectic substances</w:t>
      </w:r>
      <w:r>
        <w:rPr>
          <w:lang w:eastAsia="en-AU" w:bidi="ar-SA"/>
        </w:rPr>
        <w:t xml:space="preserve"> during the production of </w:t>
      </w:r>
      <w:r w:rsidR="00D62874">
        <w:rPr>
          <w:lang w:eastAsia="en-AU" w:bidi="ar-SA"/>
        </w:rPr>
        <w:t xml:space="preserve">plant foods. </w:t>
      </w:r>
      <w:r>
        <w:rPr>
          <w:lang w:eastAsia="en-AU" w:bidi="ar-SA"/>
        </w:rPr>
        <w:t>It is therefore performing as a processing aid as defined by the Code.</w:t>
      </w:r>
    </w:p>
    <w:p w14:paraId="3357420F" w14:textId="77777777" w:rsidR="00475E85" w:rsidRDefault="00475E85" w:rsidP="008A6203">
      <w:pPr>
        <w:rPr>
          <w:lang w:eastAsia="en-AU" w:bidi="ar-SA"/>
        </w:rPr>
      </w:pPr>
    </w:p>
    <w:p w14:paraId="70EA510F" w14:textId="1B0D269A" w:rsidR="00171ED5" w:rsidRDefault="00C7275B" w:rsidP="00AE304A">
      <w:r>
        <w:lastRenderedPageBreak/>
        <w:t>The Code already permi</w:t>
      </w:r>
      <w:r w:rsidR="003A6779">
        <w:t>ts polygalacturonase and pectin</w:t>
      </w:r>
      <w:r>
        <w:t>esterase</w:t>
      </w:r>
      <w:r w:rsidR="00513915">
        <w:t xml:space="preserve"> </w:t>
      </w:r>
      <w:r w:rsidR="000A6494">
        <w:t xml:space="preserve">(from other sources) </w:t>
      </w:r>
      <w:r w:rsidR="00513915">
        <w:t>to be used in the manufacture of foods</w:t>
      </w:r>
      <w:r w:rsidR="0092306E">
        <w:t>, the two enzymes the a</w:t>
      </w:r>
      <w:r>
        <w:t>pplicant combines in its commercial product (</w:t>
      </w:r>
      <w:r w:rsidRPr="00146682">
        <w:rPr>
          <w:szCs w:val="22"/>
        </w:rPr>
        <w:t>ROHAPECT® MA Plus</w:t>
      </w:r>
      <w:r>
        <w:t xml:space="preserve">. </w:t>
      </w:r>
      <w:r w:rsidR="00AE304A">
        <w:t xml:space="preserve">The specific </w:t>
      </w:r>
      <w:r w:rsidR="00AE304A" w:rsidRPr="0043388C">
        <w:t xml:space="preserve">benefits of the action of </w:t>
      </w:r>
      <w:r w:rsidR="00933C83">
        <w:t>polygalacturonase</w:t>
      </w:r>
      <w:r w:rsidR="00AE304A" w:rsidRPr="0043388C">
        <w:t xml:space="preserve"> in </w:t>
      </w:r>
      <w:r w:rsidR="004A7121" w:rsidRPr="00273B52">
        <w:t>the manufacture</w:t>
      </w:r>
      <w:r w:rsidR="004A7121">
        <w:t xml:space="preserve"> and/or processing of fruit and vegetable juices/</w:t>
      </w:r>
      <w:r w:rsidR="004A7121" w:rsidRPr="00273B52">
        <w:t xml:space="preserve">products; </w:t>
      </w:r>
      <w:r w:rsidR="004A7121">
        <w:t>and in the production of coffee</w:t>
      </w:r>
      <w:r w:rsidR="004A7121" w:rsidRPr="00273B52">
        <w:t xml:space="preserve">, flavouring </w:t>
      </w:r>
      <w:r w:rsidR="004A7121">
        <w:t>substances and wine</w:t>
      </w:r>
      <w:r w:rsidR="00513915">
        <w:t>, as summarised from the application,</w:t>
      </w:r>
      <w:r w:rsidR="00AE304A">
        <w:t xml:space="preserve"> are described below.</w:t>
      </w:r>
    </w:p>
    <w:p w14:paraId="515CFA23" w14:textId="77777777" w:rsidR="00171ED5" w:rsidRDefault="00171ED5" w:rsidP="00AE304A"/>
    <w:p w14:paraId="2C845AF4" w14:textId="77777777" w:rsidR="001832E6" w:rsidRDefault="001832E6" w:rsidP="001832E6">
      <w:pPr>
        <w:rPr>
          <w:lang w:bidi="ar-SA"/>
        </w:rPr>
      </w:pPr>
      <w:r>
        <w:t>The</w:t>
      </w:r>
      <w:r>
        <w:rPr>
          <w:lang w:bidi="ar-SA"/>
        </w:rPr>
        <w:t xml:space="preserve"> Codex guideline, </w:t>
      </w:r>
      <w:r>
        <w:rPr>
          <w:i/>
          <w:lang w:bidi="ar-SA"/>
        </w:rPr>
        <w:t>Guidelines on Substances used as Processing Aids</w:t>
      </w:r>
      <w:r>
        <w:rPr>
          <w:lang w:bidi="ar-SA"/>
        </w:rPr>
        <w:t xml:space="preserve"> (CAC/GL 75-2010) sets out general principles for the safe use of substances used as processing aids. The</w:t>
      </w:r>
    </w:p>
    <w:p w14:paraId="6CA21775" w14:textId="77777777" w:rsidR="001832E6" w:rsidRDefault="001832E6" w:rsidP="001832E6">
      <w:r>
        <w:rPr>
          <w:lang w:bidi="ar-SA"/>
        </w:rPr>
        <w:t xml:space="preserve">Guideline states that substances used as processing aids shall be used under conditions of </w:t>
      </w:r>
      <w:r>
        <w:t>good manufacturing practice (</w:t>
      </w:r>
      <w:r>
        <w:rPr>
          <w:lang w:bidi="ar-SA"/>
        </w:rPr>
        <w:t>GMP). Therefore u</w:t>
      </w:r>
      <w:r>
        <w:t>se of commercial enzyme preparations should follow GMP, where use is at a level that is not higher than that necessary to achieve the desired enzymatic reaction. The applicant requested use of the enzyme at GMP levels.</w:t>
      </w:r>
    </w:p>
    <w:p w14:paraId="74CCB833" w14:textId="7E3D52A3" w:rsidR="008F67A2" w:rsidRDefault="008F67A2" w:rsidP="0067248B">
      <w:pPr>
        <w:widowControl/>
        <w:autoSpaceDE w:val="0"/>
        <w:autoSpaceDN w:val="0"/>
        <w:adjustRightInd w:val="0"/>
        <w:rPr>
          <w:rFonts w:ascii="CIDFont+F1" w:eastAsia="Calibri" w:hAnsi="CIDFont+F1" w:cs="CIDFont+F1"/>
          <w:szCs w:val="22"/>
          <w:lang w:bidi="ar-SA"/>
        </w:rPr>
      </w:pPr>
    </w:p>
    <w:p w14:paraId="474EF04D" w14:textId="7CDA3ED6" w:rsidR="00AE304A" w:rsidRPr="00AE304A" w:rsidRDefault="00AE304A" w:rsidP="0067248B">
      <w:pPr>
        <w:widowControl/>
        <w:autoSpaceDE w:val="0"/>
        <w:autoSpaceDN w:val="0"/>
        <w:adjustRightInd w:val="0"/>
        <w:rPr>
          <w:rFonts w:ascii="CIDFont+F1" w:eastAsia="Calibri" w:hAnsi="CIDFont+F1" w:cs="CIDFont+F1"/>
          <w:szCs w:val="22"/>
          <w:u w:val="single"/>
          <w:lang w:bidi="ar-SA"/>
        </w:rPr>
      </w:pPr>
      <w:r w:rsidRPr="00AE304A">
        <w:rPr>
          <w:rFonts w:ascii="CIDFont+F1" w:eastAsia="Calibri" w:hAnsi="CIDFont+F1" w:cs="CIDFont+F1"/>
          <w:szCs w:val="22"/>
          <w:u w:val="single"/>
          <w:lang w:bidi="ar-SA"/>
        </w:rPr>
        <w:t>Fruit and vegetable</w:t>
      </w:r>
      <w:r w:rsidR="003510E1">
        <w:rPr>
          <w:rFonts w:ascii="CIDFont+F1" w:eastAsia="Calibri" w:hAnsi="CIDFont+F1" w:cs="CIDFont+F1"/>
          <w:szCs w:val="22"/>
          <w:u w:val="single"/>
          <w:lang w:bidi="ar-SA"/>
        </w:rPr>
        <w:t xml:space="preserve"> manufacture and/or processing</w:t>
      </w:r>
      <w:r w:rsidRPr="00AE304A">
        <w:rPr>
          <w:rFonts w:ascii="CIDFont+F1" w:eastAsia="Calibri" w:hAnsi="CIDFont+F1" w:cs="CIDFont+F1"/>
          <w:szCs w:val="22"/>
          <w:u w:val="single"/>
          <w:lang w:bidi="ar-SA"/>
        </w:rPr>
        <w:t xml:space="preserve"> </w:t>
      </w:r>
      <w:r w:rsidR="00933C83">
        <w:rPr>
          <w:rFonts w:ascii="CIDFont+F1" w:eastAsia="Calibri" w:hAnsi="CIDFont+F1" w:cs="CIDFont+F1"/>
          <w:szCs w:val="22"/>
          <w:u w:val="single"/>
          <w:lang w:bidi="ar-SA"/>
        </w:rPr>
        <w:t>(fruit juices/products and vegetable juices/products)</w:t>
      </w:r>
    </w:p>
    <w:p w14:paraId="01D391E9" w14:textId="45B2A1D2" w:rsidR="00AE304A" w:rsidRDefault="0048458D" w:rsidP="0067248B">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Polygalacturonase assists in the degradation of pectin in processing of these products. While fruits and vegetables naturally contain polygalacturonase (hence the ripening of fruit and vegetables), the concentration is too variable and the specificity of the naturally occurring enzyme may not be optimal for the desired production process.</w:t>
      </w:r>
    </w:p>
    <w:p w14:paraId="3A3FA68F" w14:textId="048B5CC5" w:rsidR="00AE304A" w:rsidRDefault="00AE304A" w:rsidP="0067248B">
      <w:pPr>
        <w:widowControl/>
        <w:autoSpaceDE w:val="0"/>
        <w:autoSpaceDN w:val="0"/>
        <w:adjustRightInd w:val="0"/>
        <w:rPr>
          <w:rFonts w:ascii="CIDFont+F1" w:eastAsia="Calibri" w:hAnsi="CIDFont+F1" w:cs="CIDFont+F1"/>
          <w:szCs w:val="22"/>
          <w:lang w:bidi="ar-SA"/>
        </w:rPr>
      </w:pPr>
    </w:p>
    <w:p w14:paraId="71729B60" w14:textId="0EEA42C9" w:rsidR="00AE304A" w:rsidRPr="00AE304A" w:rsidRDefault="00AE304A" w:rsidP="0067248B">
      <w:pPr>
        <w:widowControl/>
        <w:autoSpaceDE w:val="0"/>
        <w:autoSpaceDN w:val="0"/>
        <w:adjustRightInd w:val="0"/>
        <w:rPr>
          <w:rFonts w:ascii="CIDFont+F1" w:eastAsia="Calibri" w:hAnsi="CIDFont+F1" w:cs="CIDFont+F1"/>
          <w:szCs w:val="22"/>
          <w:u w:val="single"/>
          <w:lang w:bidi="ar-SA"/>
        </w:rPr>
      </w:pPr>
      <w:r w:rsidRPr="00AE304A">
        <w:rPr>
          <w:rFonts w:ascii="CIDFont+F1" w:eastAsia="Calibri" w:hAnsi="CIDFont+F1" w:cs="CIDFont+F1"/>
          <w:szCs w:val="22"/>
          <w:u w:val="single"/>
          <w:lang w:bidi="ar-SA"/>
        </w:rPr>
        <w:t xml:space="preserve">Coffee </w:t>
      </w:r>
      <w:r w:rsidR="004C2668">
        <w:rPr>
          <w:rFonts w:ascii="CIDFont+F1" w:eastAsia="Calibri" w:hAnsi="CIDFont+F1" w:cs="CIDFont+F1"/>
          <w:szCs w:val="22"/>
          <w:u w:val="single"/>
          <w:lang w:bidi="ar-SA"/>
        </w:rPr>
        <w:t>production</w:t>
      </w:r>
    </w:p>
    <w:p w14:paraId="5FC133EF" w14:textId="008DA71A" w:rsidR="00AE304A" w:rsidRDefault="00E528A6" w:rsidP="0067248B">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Pectinases, including polygalacturonase, are used during coffee processing for processing improvement such as to assist with separation of the bean from the outer layers and a shorter fermentation time.</w:t>
      </w:r>
    </w:p>
    <w:p w14:paraId="75820500" w14:textId="3E657C76" w:rsidR="00AE304A" w:rsidRDefault="00AE304A" w:rsidP="0067248B">
      <w:pPr>
        <w:widowControl/>
        <w:autoSpaceDE w:val="0"/>
        <w:autoSpaceDN w:val="0"/>
        <w:adjustRightInd w:val="0"/>
        <w:rPr>
          <w:rFonts w:ascii="CIDFont+F1" w:eastAsia="Calibri" w:hAnsi="CIDFont+F1" w:cs="CIDFont+F1"/>
          <w:szCs w:val="22"/>
          <w:lang w:bidi="ar-SA"/>
        </w:rPr>
      </w:pPr>
    </w:p>
    <w:p w14:paraId="566484E5" w14:textId="0386D252" w:rsidR="00AE304A" w:rsidRPr="00AE304A" w:rsidRDefault="00AE304A" w:rsidP="0067248B">
      <w:pPr>
        <w:widowControl/>
        <w:autoSpaceDE w:val="0"/>
        <w:autoSpaceDN w:val="0"/>
        <w:adjustRightInd w:val="0"/>
        <w:rPr>
          <w:rFonts w:ascii="CIDFont+F1" w:eastAsia="Calibri" w:hAnsi="CIDFont+F1" w:cs="CIDFont+F1"/>
          <w:szCs w:val="22"/>
          <w:u w:val="single"/>
          <w:lang w:bidi="ar-SA"/>
        </w:rPr>
      </w:pPr>
      <w:r w:rsidRPr="00AE304A">
        <w:rPr>
          <w:rFonts w:ascii="CIDFont+F1" w:eastAsia="Calibri" w:hAnsi="CIDFont+F1" w:cs="CIDFont+F1"/>
          <w:szCs w:val="22"/>
          <w:u w:val="single"/>
          <w:lang w:bidi="ar-SA"/>
        </w:rPr>
        <w:t xml:space="preserve">Flavouring </w:t>
      </w:r>
      <w:r w:rsidR="003510E1">
        <w:rPr>
          <w:rFonts w:ascii="CIDFont+F1" w:eastAsia="Calibri" w:hAnsi="CIDFont+F1" w:cs="CIDFont+F1"/>
          <w:szCs w:val="22"/>
          <w:u w:val="single"/>
          <w:lang w:bidi="ar-SA"/>
        </w:rPr>
        <w:t xml:space="preserve">substances </w:t>
      </w:r>
      <w:r w:rsidRPr="00AE304A">
        <w:rPr>
          <w:rFonts w:ascii="CIDFont+F1" w:eastAsia="Calibri" w:hAnsi="CIDFont+F1" w:cs="CIDFont+F1"/>
          <w:szCs w:val="22"/>
          <w:u w:val="single"/>
          <w:lang w:bidi="ar-SA"/>
        </w:rPr>
        <w:t>production</w:t>
      </w:r>
    </w:p>
    <w:p w14:paraId="143737B7" w14:textId="0FB405D0" w:rsidR="0092306E" w:rsidRDefault="00E528A6" w:rsidP="0067248B">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Flavouring substances used to flavour foods can be produced using enzymes (</w:t>
      </w:r>
      <w:r w:rsidR="004C2668">
        <w:rPr>
          <w:rFonts w:ascii="CIDFont+F1" w:eastAsia="Calibri" w:hAnsi="CIDFont+F1" w:cs="CIDFont+F1"/>
          <w:szCs w:val="22"/>
          <w:lang w:bidi="ar-SA"/>
        </w:rPr>
        <w:t>such</w:t>
      </w:r>
      <w:r>
        <w:rPr>
          <w:rFonts w:ascii="CIDFont+F1" w:eastAsia="Calibri" w:hAnsi="CIDFont+F1" w:cs="CIDFont+F1"/>
          <w:szCs w:val="22"/>
          <w:lang w:bidi="ar-SA"/>
        </w:rPr>
        <w:t xml:space="preserve"> as cellulases and pectinases). Enzymatic pre-treatment for the extraction of flavour components from various plant materials enhance aroma recovery.</w:t>
      </w:r>
    </w:p>
    <w:p w14:paraId="7E702B6E" w14:textId="3BBB1C3E" w:rsidR="00AE304A" w:rsidRDefault="00AE304A" w:rsidP="0067248B">
      <w:pPr>
        <w:widowControl/>
        <w:autoSpaceDE w:val="0"/>
        <w:autoSpaceDN w:val="0"/>
        <w:adjustRightInd w:val="0"/>
        <w:rPr>
          <w:rFonts w:ascii="CIDFont+F1" w:eastAsia="Calibri" w:hAnsi="CIDFont+F1" w:cs="CIDFont+F1"/>
          <w:szCs w:val="22"/>
          <w:lang w:bidi="ar-SA"/>
        </w:rPr>
      </w:pPr>
    </w:p>
    <w:p w14:paraId="2BAD31DB" w14:textId="7601F81C" w:rsidR="00AE304A" w:rsidRPr="00AE304A" w:rsidRDefault="00AE304A" w:rsidP="0067248B">
      <w:pPr>
        <w:widowControl/>
        <w:autoSpaceDE w:val="0"/>
        <w:autoSpaceDN w:val="0"/>
        <w:adjustRightInd w:val="0"/>
        <w:rPr>
          <w:rFonts w:ascii="CIDFont+F1" w:eastAsia="Calibri" w:hAnsi="CIDFont+F1" w:cs="CIDFont+F1"/>
          <w:szCs w:val="22"/>
          <w:u w:val="single"/>
          <w:lang w:bidi="ar-SA"/>
        </w:rPr>
      </w:pPr>
      <w:r w:rsidRPr="00AE304A">
        <w:rPr>
          <w:rFonts w:ascii="CIDFont+F1" w:eastAsia="Calibri" w:hAnsi="CIDFont+F1" w:cs="CIDFont+F1"/>
          <w:szCs w:val="22"/>
          <w:u w:val="single"/>
          <w:lang w:bidi="ar-SA"/>
        </w:rPr>
        <w:t>Wine production</w:t>
      </w:r>
    </w:p>
    <w:p w14:paraId="004F3B43" w14:textId="40F3598B" w:rsidR="00AE304A" w:rsidRPr="005640F3" w:rsidRDefault="0048458D" w:rsidP="0067248B">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 xml:space="preserve">Grapes have a high pectin content, and </w:t>
      </w:r>
      <w:r w:rsidR="00E528A6">
        <w:rPr>
          <w:rFonts w:ascii="CIDFont+F1" w:eastAsia="Calibri" w:hAnsi="CIDFont+F1" w:cs="CIDFont+F1"/>
          <w:szCs w:val="22"/>
          <w:lang w:bidi="ar-SA"/>
        </w:rPr>
        <w:t>pectinases</w:t>
      </w:r>
      <w:r>
        <w:rPr>
          <w:rFonts w:ascii="CIDFont+F1" w:eastAsia="Calibri" w:hAnsi="CIDFont+F1" w:cs="CIDFont+F1"/>
          <w:szCs w:val="22"/>
          <w:lang w:bidi="ar-SA"/>
        </w:rPr>
        <w:t xml:space="preserve"> ar</w:t>
      </w:r>
      <w:r w:rsidR="006842E6">
        <w:rPr>
          <w:rFonts w:ascii="CIDFont+F1" w:eastAsia="Calibri" w:hAnsi="CIDFont+F1" w:cs="CIDFont+F1"/>
          <w:szCs w:val="22"/>
          <w:lang w:bidi="ar-SA"/>
        </w:rPr>
        <w:t xml:space="preserve">e already used in wine making. </w:t>
      </w:r>
      <w:r>
        <w:rPr>
          <w:rFonts w:ascii="CIDFont+F1" w:eastAsia="Calibri" w:hAnsi="CIDFont+F1" w:cs="CIDFont+F1"/>
          <w:szCs w:val="22"/>
          <w:lang w:bidi="ar-SA"/>
        </w:rPr>
        <w:t xml:space="preserve">They are used </w:t>
      </w:r>
      <w:r w:rsidR="00955BD6">
        <w:rPr>
          <w:rFonts w:ascii="CIDFont+F1" w:eastAsia="Calibri" w:hAnsi="CIDFont+F1" w:cs="CIDFont+F1"/>
          <w:szCs w:val="22"/>
          <w:lang w:bidi="ar-SA"/>
        </w:rPr>
        <w:t xml:space="preserve">in a number of stages in the wine making process, as described in the application. For example, when polygalacturonase is </w:t>
      </w:r>
      <w:r w:rsidR="003A6779">
        <w:rPr>
          <w:rFonts w:ascii="CIDFont+F1" w:eastAsia="Calibri" w:hAnsi="CIDFont+F1" w:cs="CIDFont+F1"/>
          <w:szCs w:val="22"/>
          <w:lang w:bidi="ar-SA"/>
        </w:rPr>
        <w:t>used in combination with pectin</w:t>
      </w:r>
      <w:r w:rsidR="00955BD6">
        <w:rPr>
          <w:rFonts w:ascii="CIDFont+F1" w:eastAsia="Calibri" w:hAnsi="CIDFont+F1" w:cs="CIDFont+F1"/>
          <w:szCs w:val="22"/>
          <w:lang w:bidi="ar-SA"/>
        </w:rPr>
        <w:t>esterase in red wine making, the visual aspects (e.g. colour, stability) are improved compared to untreated wines.</w:t>
      </w:r>
    </w:p>
    <w:p w14:paraId="75A353A5" w14:textId="73784C1E" w:rsidR="0067248B" w:rsidRPr="008D5EB8" w:rsidRDefault="003F6622" w:rsidP="008D5EB8">
      <w:pPr>
        <w:pStyle w:val="Heading2"/>
      </w:pPr>
      <w:bookmarkStart w:id="73" w:name="_Toc67559430"/>
      <w:bookmarkStart w:id="74" w:name="_Toc75789514"/>
      <w:bookmarkStart w:id="75" w:name="_Toc76390763"/>
      <w:bookmarkStart w:id="76" w:name="_Toc472327053"/>
      <w:bookmarkStart w:id="77" w:name="_Toc501699827"/>
      <w:bookmarkStart w:id="78" w:name="_Toc67559432"/>
      <w:bookmarkStart w:id="79" w:name="_Toc75789516"/>
      <w:bookmarkStart w:id="80" w:name="_Toc76390765"/>
      <w:bookmarkStart w:id="81" w:name="_Toc95987207"/>
      <w:bookmarkStart w:id="82" w:name="_Toc99464554"/>
      <w:bookmarkStart w:id="83" w:name="_Toc99458051"/>
      <w:bookmarkStart w:id="84" w:name="_Toc103671976"/>
      <w:bookmarkEnd w:id="73"/>
      <w:bookmarkEnd w:id="74"/>
      <w:bookmarkEnd w:id="75"/>
      <w:r>
        <w:t>2.5</w:t>
      </w:r>
      <w:r w:rsidR="0067248B" w:rsidRPr="001D1FB4">
        <w:tab/>
        <w:t>Food technology conclusion</w:t>
      </w:r>
      <w:bookmarkEnd w:id="76"/>
      <w:bookmarkEnd w:id="77"/>
      <w:bookmarkEnd w:id="78"/>
      <w:bookmarkEnd w:id="79"/>
      <w:bookmarkEnd w:id="80"/>
      <w:bookmarkEnd w:id="81"/>
      <w:bookmarkEnd w:id="82"/>
      <w:bookmarkEnd w:id="83"/>
      <w:bookmarkEnd w:id="84"/>
    </w:p>
    <w:p w14:paraId="7971AD27" w14:textId="73A7FDCD" w:rsidR="00364118" w:rsidRPr="00AC3A80" w:rsidRDefault="008B4238" w:rsidP="00364118">
      <w:pPr>
        <w:rPr>
          <w:lang w:val="en-AU" w:bidi="ar-SA"/>
        </w:rPr>
      </w:pPr>
      <w:r>
        <w:rPr>
          <w:lang w:eastAsia="en-AU" w:bidi="ar-SA"/>
        </w:rPr>
        <w:t xml:space="preserve">FSANZ concludes that the proposed use of this polygalacturonase in the production of </w:t>
      </w:r>
      <w:r w:rsidR="00C93AC5">
        <w:rPr>
          <w:lang w:eastAsia="en-AU" w:bidi="ar-SA"/>
        </w:rPr>
        <w:t>a number of foods</w:t>
      </w:r>
      <w:r>
        <w:rPr>
          <w:lang w:eastAsia="en-AU" w:bidi="ar-SA"/>
        </w:rPr>
        <w:t xml:space="preserve">, is consistent with its typical function </w:t>
      </w:r>
      <w:r w:rsidR="00C93AC5">
        <w:rPr>
          <w:lang w:eastAsia="en-AU" w:bidi="ar-SA"/>
        </w:rPr>
        <w:t>as a pectinase.</w:t>
      </w:r>
      <w:r w:rsidR="008D190D">
        <w:rPr>
          <w:lang w:eastAsia="en-AU" w:bidi="ar-SA"/>
        </w:rPr>
        <w:t xml:space="preserve"> </w:t>
      </w:r>
      <w:r w:rsidR="008D190D">
        <w:t>FSANZ concludes that t</w:t>
      </w:r>
      <w:r w:rsidR="008D190D" w:rsidRPr="00F00B9A">
        <w:t>he evidence presented to support the proposed use</w:t>
      </w:r>
      <w:r w:rsidR="008D190D" w:rsidRPr="00D41CB3">
        <w:t xml:space="preserve"> </w:t>
      </w:r>
      <w:r w:rsidR="008D190D" w:rsidRPr="00F00B9A">
        <w:t xml:space="preserve">provides adequate assurance that </w:t>
      </w:r>
      <w:r w:rsidR="00364118" w:rsidRPr="00AC3A80">
        <w:rPr>
          <w:lang w:val="en-AU" w:bidi="ar-SA"/>
        </w:rPr>
        <w:t xml:space="preserve">the use of the enzyme, in the form </w:t>
      </w:r>
      <w:r w:rsidR="00364118">
        <w:rPr>
          <w:lang w:val="en-AU" w:bidi="ar-SA"/>
        </w:rPr>
        <w:t xml:space="preserve">and requested amount (i.e. at a level </w:t>
      </w:r>
      <w:r w:rsidR="001832E6">
        <w:rPr>
          <w:lang w:val="en-AU" w:bidi="ar-SA"/>
        </w:rPr>
        <w:t xml:space="preserve">consistent with </w:t>
      </w:r>
      <w:r w:rsidR="00364118">
        <w:rPr>
          <w:lang w:val="en-AU" w:bidi="ar-SA"/>
        </w:rPr>
        <w:t xml:space="preserve">GMP) </w:t>
      </w:r>
      <w:r w:rsidR="00364118" w:rsidRPr="00AC3A80">
        <w:rPr>
          <w:lang w:val="en-AU" w:bidi="ar-SA"/>
        </w:rPr>
        <w:t>is technologically justified</w:t>
      </w:r>
      <w:r w:rsidR="00364118">
        <w:rPr>
          <w:lang w:val="en-AU" w:bidi="ar-SA"/>
        </w:rPr>
        <w:t xml:space="preserve"> and has been demonstrated to be effective in achieving its stated purpose.</w:t>
      </w:r>
    </w:p>
    <w:p w14:paraId="1FFECA8B" w14:textId="1951FD5E" w:rsidR="008D190D" w:rsidRDefault="008D190D" w:rsidP="008B4238">
      <w:pPr>
        <w:rPr>
          <w:lang w:eastAsia="en-AU" w:bidi="ar-SA"/>
        </w:rPr>
      </w:pPr>
    </w:p>
    <w:p w14:paraId="37C4C378" w14:textId="205AB77E" w:rsidR="008B4238" w:rsidRDefault="008B4238" w:rsidP="008B4238">
      <w:pPr>
        <w:rPr>
          <w:lang w:eastAsia="en-AU" w:bidi="ar-SA"/>
        </w:rPr>
      </w:pPr>
      <w:r>
        <w:rPr>
          <w:lang w:eastAsia="en-AU" w:bidi="ar-SA"/>
        </w:rPr>
        <w:t xml:space="preserve">Polygalacturonase performs its technological purpose during the production of </w:t>
      </w:r>
      <w:r w:rsidR="008D190D">
        <w:rPr>
          <w:lang w:eastAsia="en-AU" w:bidi="ar-SA"/>
        </w:rPr>
        <w:t>food</w:t>
      </w:r>
      <w:r>
        <w:rPr>
          <w:lang w:eastAsia="en-AU" w:bidi="ar-SA"/>
        </w:rPr>
        <w:t xml:space="preserve"> and is not performing a technological purpose in the final food</w:t>
      </w:r>
      <w:r w:rsidR="008D190D">
        <w:rPr>
          <w:lang w:eastAsia="en-AU" w:bidi="ar-SA"/>
        </w:rPr>
        <w:t xml:space="preserve">. </w:t>
      </w:r>
      <w:r w:rsidR="008D190D" w:rsidRPr="00F00B9A">
        <w:t xml:space="preserve">It is therefore appropriately categorised as a processing aid </w:t>
      </w:r>
      <w:r w:rsidR="008D190D">
        <w:t>as defined in the Code</w:t>
      </w:r>
      <w:r w:rsidR="008D190D" w:rsidRPr="00F00B9A">
        <w:t>.</w:t>
      </w:r>
    </w:p>
    <w:p w14:paraId="128B9642" w14:textId="77777777" w:rsidR="008B4238" w:rsidRDefault="008B4238" w:rsidP="008B4238">
      <w:pPr>
        <w:rPr>
          <w:lang w:eastAsia="en-AU" w:bidi="ar-SA"/>
        </w:rPr>
      </w:pPr>
    </w:p>
    <w:p w14:paraId="2C8ABF79" w14:textId="22D79C14" w:rsidR="008A6203" w:rsidRDefault="008B4238" w:rsidP="00921D89">
      <w:pPr>
        <w:rPr>
          <w:lang w:bidi="ar-SA"/>
        </w:rPr>
      </w:pPr>
      <w:r>
        <w:rPr>
          <w:lang w:eastAsia="en-AU" w:bidi="ar-SA"/>
        </w:rPr>
        <w:t>There are relevant identity and purity specifications for the enzyme in the Code and the applicant provided evidence that the enzyme meets these specifications.</w:t>
      </w:r>
    </w:p>
    <w:p w14:paraId="34E39936" w14:textId="2819CF86" w:rsidR="0008655E" w:rsidRDefault="0008655E" w:rsidP="0008655E">
      <w:pPr>
        <w:pStyle w:val="Heading1"/>
      </w:pPr>
      <w:bookmarkStart w:id="85" w:name="_Toc505255637"/>
      <w:bookmarkStart w:id="86" w:name="_Toc536543995"/>
      <w:bookmarkStart w:id="87" w:name="_Toc536607130"/>
      <w:bookmarkStart w:id="88" w:name="_Toc30154603"/>
      <w:bookmarkStart w:id="89" w:name="_Toc85204766"/>
      <w:bookmarkStart w:id="90" w:name="_Toc85211328"/>
      <w:bookmarkStart w:id="91" w:name="_Toc87259303"/>
      <w:bookmarkStart w:id="92" w:name="_Toc99464555"/>
      <w:bookmarkStart w:id="93" w:name="_Toc99458052"/>
      <w:bookmarkStart w:id="94" w:name="_Toc103671977"/>
      <w:r w:rsidRPr="001E6A7B">
        <w:lastRenderedPageBreak/>
        <w:t>3</w:t>
      </w:r>
      <w:r>
        <w:tab/>
      </w:r>
      <w:r w:rsidRPr="001E6A7B">
        <w:t>Safety assessment</w:t>
      </w:r>
      <w:bookmarkStart w:id="95" w:name="_Toc471740081"/>
      <w:bookmarkStart w:id="96" w:name="_Toc499282437"/>
      <w:bookmarkEnd w:id="85"/>
      <w:bookmarkEnd w:id="86"/>
      <w:bookmarkEnd w:id="87"/>
      <w:bookmarkEnd w:id="88"/>
      <w:bookmarkEnd w:id="89"/>
      <w:bookmarkEnd w:id="90"/>
      <w:bookmarkEnd w:id="91"/>
      <w:bookmarkEnd w:id="92"/>
      <w:bookmarkEnd w:id="93"/>
      <w:bookmarkEnd w:id="94"/>
    </w:p>
    <w:p w14:paraId="74D68745" w14:textId="2C7106DB" w:rsidR="00CA2312" w:rsidRPr="00CA2312" w:rsidRDefault="00CA2312" w:rsidP="00CA2312">
      <w:r w:rsidRPr="008C4407">
        <w:rPr>
          <w:lang w:bidi="ar-SA"/>
        </w:rPr>
        <w:t>Some information</w:t>
      </w:r>
      <w:r>
        <w:rPr>
          <w:lang w:bidi="ar-SA"/>
        </w:rPr>
        <w:t xml:space="preserve"> relevant to this section</w:t>
      </w:r>
      <w:r w:rsidRPr="008C4407">
        <w:rPr>
          <w:lang w:bidi="ar-SA"/>
        </w:rPr>
        <w:t xml:space="preserve"> is Confidential Commercial Information (CCI)</w:t>
      </w:r>
      <w:r>
        <w:rPr>
          <w:lang w:bidi="ar-SA"/>
        </w:rPr>
        <w:t>,</w:t>
      </w:r>
      <w:r w:rsidRPr="008C4407">
        <w:rPr>
          <w:lang w:bidi="ar-SA"/>
        </w:rPr>
        <w:t xml:space="preserve"> so </w:t>
      </w:r>
      <w:r>
        <w:rPr>
          <w:lang w:bidi="ar-SA"/>
        </w:rPr>
        <w:t xml:space="preserve">full details </w:t>
      </w:r>
      <w:r w:rsidR="00641EF6">
        <w:rPr>
          <w:lang w:bidi="ar-SA"/>
        </w:rPr>
        <w:t>have not been</w:t>
      </w:r>
      <w:r>
        <w:rPr>
          <w:lang w:bidi="ar-SA"/>
        </w:rPr>
        <w:t xml:space="preserve"> provided in this public report.</w:t>
      </w:r>
    </w:p>
    <w:p w14:paraId="1A7970BB" w14:textId="2EA9E5B9" w:rsidR="0008655E" w:rsidRDefault="0008655E" w:rsidP="0008655E">
      <w:pPr>
        <w:pStyle w:val="Heading2"/>
      </w:pPr>
      <w:bookmarkStart w:id="97" w:name="_Toc471740085"/>
      <w:bookmarkStart w:id="98" w:name="_Toc499282440"/>
      <w:bookmarkStart w:id="99" w:name="_Toc505255639"/>
      <w:bookmarkStart w:id="100" w:name="_Toc536543996"/>
      <w:bookmarkStart w:id="101" w:name="_Toc536607131"/>
      <w:bookmarkStart w:id="102" w:name="_Toc30154604"/>
      <w:bookmarkStart w:id="103" w:name="_Toc85204767"/>
      <w:bookmarkStart w:id="104" w:name="_Toc85211329"/>
      <w:bookmarkStart w:id="105" w:name="_Toc87259304"/>
      <w:bookmarkStart w:id="106" w:name="_Toc99464556"/>
      <w:bookmarkStart w:id="107" w:name="_Toc99458053"/>
      <w:bookmarkStart w:id="108" w:name="_Toc103671978"/>
      <w:bookmarkEnd w:id="95"/>
      <w:bookmarkEnd w:id="96"/>
      <w:r w:rsidRPr="006C2969">
        <w:t>3.</w:t>
      </w:r>
      <w:bookmarkEnd w:id="97"/>
      <w:r>
        <w:t>1</w:t>
      </w:r>
      <w:r>
        <w:tab/>
      </w:r>
      <w:bookmarkEnd w:id="98"/>
      <w:bookmarkEnd w:id="99"/>
      <w:bookmarkEnd w:id="100"/>
      <w:bookmarkEnd w:id="101"/>
      <w:bookmarkEnd w:id="102"/>
      <w:bookmarkEnd w:id="103"/>
      <w:bookmarkEnd w:id="104"/>
      <w:bookmarkEnd w:id="105"/>
      <w:r w:rsidR="002D3CEC">
        <w:t>Source microorganisms</w:t>
      </w:r>
      <w:bookmarkEnd w:id="106"/>
      <w:bookmarkEnd w:id="107"/>
      <w:bookmarkEnd w:id="108"/>
    </w:p>
    <w:p w14:paraId="060A8B73" w14:textId="0E77059B" w:rsidR="0008655E" w:rsidRDefault="0008655E" w:rsidP="00FC50C3">
      <w:pPr>
        <w:pStyle w:val="Heading3"/>
      </w:pPr>
      <w:bookmarkStart w:id="109" w:name="_Toc498940968"/>
      <w:bookmarkStart w:id="110" w:name="_Toc499282441"/>
      <w:bookmarkStart w:id="111" w:name="_Toc536543997"/>
      <w:bookmarkStart w:id="112" w:name="_Toc536607132"/>
      <w:bookmarkStart w:id="113" w:name="_Toc30154605"/>
      <w:bookmarkStart w:id="114" w:name="_Toc85204768"/>
      <w:bookmarkStart w:id="115" w:name="_Toc85211330"/>
      <w:bookmarkStart w:id="116" w:name="_Toc87259305"/>
      <w:bookmarkStart w:id="117" w:name="_Toc99464557"/>
      <w:bookmarkStart w:id="118" w:name="_Toc99458054"/>
      <w:bookmarkStart w:id="119" w:name="_Toc103671979"/>
      <w:r>
        <w:t>3.1.1</w:t>
      </w:r>
      <w:r>
        <w:tab/>
        <w:t>Host organism</w:t>
      </w:r>
      <w:bookmarkEnd w:id="109"/>
      <w:bookmarkEnd w:id="110"/>
      <w:bookmarkEnd w:id="111"/>
      <w:bookmarkEnd w:id="112"/>
      <w:bookmarkEnd w:id="113"/>
      <w:bookmarkEnd w:id="114"/>
      <w:bookmarkEnd w:id="115"/>
      <w:bookmarkEnd w:id="116"/>
      <w:bookmarkEnd w:id="117"/>
      <w:bookmarkEnd w:id="118"/>
      <w:bookmarkEnd w:id="119"/>
    </w:p>
    <w:p w14:paraId="29C23370" w14:textId="2FFF0D79" w:rsidR="007E2C9F" w:rsidRDefault="007E2C9F" w:rsidP="0023482A">
      <w:pPr>
        <w:rPr>
          <w:lang w:eastAsia="en-AU" w:bidi="ar-SA"/>
        </w:rPr>
      </w:pPr>
      <w:r>
        <w:rPr>
          <w:lang w:eastAsia="en-AU" w:bidi="ar-SA"/>
        </w:rPr>
        <w:t xml:space="preserve">The enzyme production strain, </w:t>
      </w:r>
      <w:r w:rsidR="008B6655" w:rsidRPr="007E2C9F">
        <w:rPr>
          <w:i/>
          <w:lang w:eastAsia="en-AU" w:bidi="ar-SA"/>
        </w:rPr>
        <w:t>A</w:t>
      </w:r>
      <w:r w:rsidR="008B6655">
        <w:rPr>
          <w:i/>
          <w:lang w:eastAsia="en-AU" w:bidi="ar-SA"/>
        </w:rPr>
        <w:t>.</w:t>
      </w:r>
      <w:r w:rsidR="008B6655" w:rsidRPr="007E2C9F">
        <w:rPr>
          <w:i/>
          <w:lang w:eastAsia="en-AU" w:bidi="ar-SA"/>
        </w:rPr>
        <w:t xml:space="preserve"> </w:t>
      </w:r>
      <w:r w:rsidRPr="007E2C9F">
        <w:rPr>
          <w:i/>
          <w:lang w:eastAsia="en-AU" w:bidi="ar-SA"/>
        </w:rPr>
        <w:t>oryzae</w:t>
      </w:r>
      <w:r w:rsidRPr="007E2C9F">
        <w:rPr>
          <w:lang w:eastAsia="en-AU" w:bidi="ar-SA"/>
        </w:rPr>
        <w:t xml:space="preserve"> AR-183</w:t>
      </w:r>
      <w:r>
        <w:rPr>
          <w:lang w:eastAsia="en-AU" w:bidi="ar-SA"/>
        </w:rPr>
        <w:t xml:space="preserve">, is derived from a </w:t>
      </w:r>
      <w:r w:rsidR="00EC409E">
        <w:rPr>
          <w:lang w:eastAsia="en-AU" w:bidi="ar-SA"/>
        </w:rPr>
        <w:t xml:space="preserve">parental </w:t>
      </w:r>
      <w:r>
        <w:rPr>
          <w:lang w:eastAsia="en-AU" w:bidi="ar-SA"/>
        </w:rPr>
        <w:t xml:space="preserve">strain </w:t>
      </w:r>
      <w:r w:rsidR="00EC409E">
        <w:rPr>
          <w:lang w:eastAsia="en-AU" w:bidi="ar-SA"/>
        </w:rPr>
        <w:t xml:space="preserve">of </w:t>
      </w:r>
      <w:r w:rsidR="00353B1F">
        <w:rPr>
          <w:i/>
          <w:lang w:eastAsia="en-AU" w:bidi="ar-SA"/>
        </w:rPr>
        <w:t>A. </w:t>
      </w:r>
      <w:r w:rsidR="00EC409E" w:rsidRPr="00EC409E">
        <w:rPr>
          <w:i/>
          <w:lang w:eastAsia="en-AU" w:bidi="ar-SA"/>
        </w:rPr>
        <w:t>oryzae</w:t>
      </w:r>
      <w:r w:rsidR="00EC409E">
        <w:rPr>
          <w:lang w:eastAsia="en-AU" w:bidi="ar-SA"/>
        </w:rPr>
        <w:t xml:space="preserve"> </w:t>
      </w:r>
      <w:r>
        <w:rPr>
          <w:lang w:eastAsia="en-AU" w:bidi="ar-SA"/>
        </w:rPr>
        <w:t>collected in South America in 1984.</w:t>
      </w:r>
    </w:p>
    <w:p w14:paraId="069080D2" w14:textId="1EA81E64" w:rsidR="007E2C9F" w:rsidRDefault="007E2C9F" w:rsidP="0023482A">
      <w:pPr>
        <w:rPr>
          <w:lang w:eastAsia="en-AU" w:bidi="ar-SA"/>
        </w:rPr>
      </w:pPr>
    </w:p>
    <w:p w14:paraId="7ED536E2" w14:textId="5F7ABC30" w:rsidR="00EC409E" w:rsidRDefault="00EC409E" w:rsidP="007E2C9F">
      <w:pPr>
        <w:rPr>
          <w:lang w:eastAsia="en-AU" w:bidi="ar-SA"/>
        </w:rPr>
      </w:pPr>
      <w:r>
        <w:rPr>
          <w:lang w:eastAsia="en-AU" w:bidi="ar-SA"/>
        </w:rPr>
        <w:t xml:space="preserve">While </w:t>
      </w:r>
      <w:r w:rsidRPr="00EC409E">
        <w:rPr>
          <w:i/>
          <w:lang w:eastAsia="en-AU" w:bidi="ar-SA"/>
        </w:rPr>
        <w:t>A. oryzae</w:t>
      </w:r>
      <w:r>
        <w:rPr>
          <w:lang w:eastAsia="en-AU" w:bidi="ar-SA"/>
        </w:rPr>
        <w:t xml:space="preserve"> has been implicated in illness in severely ill and/or immunocompromised individuals, it is not considered to be pathogenic in healthy humans (Barbesgaard et al 1992).</w:t>
      </w:r>
      <w:r w:rsidR="001273D5">
        <w:rPr>
          <w:lang w:eastAsia="en-AU" w:bidi="ar-SA"/>
        </w:rPr>
        <w:t xml:space="preserve"> </w:t>
      </w:r>
      <w:r w:rsidR="00DA4BD8">
        <w:rPr>
          <w:lang w:eastAsia="en-AU" w:bidi="ar-SA"/>
        </w:rPr>
        <w:t xml:space="preserve">It is listed as a Risk Group 1 microorganism by the German </w:t>
      </w:r>
      <w:r w:rsidR="00DA4BD8" w:rsidRPr="00DA4BD8">
        <w:rPr>
          <w:lang w:eastAsia="en-AU" w:bidi="ar-SA"/>
        </w:rPr>
        <w:t>Federal Office of Consumer Protection and Food Safety</w:t>
      </w:r>
      <w:r w:rsidR="00DA4BD8">
        <w:rPr>
          <w:lang w:eastAsia="en-AU" w:bidi="ar-SA"/>
        </w:rPr>
        <w:t>.</w:t>
      </w:r>
      <w:r w:rsidR="00DA4BD8">
        <w:rPr>
          <w:rStyle w:val="FootnoteReference"/>
          <w:lang w:eastAsia="en-AU" w:bidi="ar-SA"/>
        </w:rPr>
        <w:footnoteReference w:id="7"/>
      </w:r>
      <w:r w:rsidR="00DA4BD8">
        <w:rPr>
          <w:lang w:eastAsia="en-AU" w:bidi="ar-SA"/>
        </w:rPr>
        <w:t xml:space="preserve"> </w:t>
      </w:r>
      <w:r w:rsidR="001273D5">
        <w:rPr>
          <w:lang w:eastAsia="en-AU" w:bidi="ar-SA"/>
        </w:rPr>
        <w:t xml:space="preserve">Evidence was </w:t>
      </w:r>
      <w:r w:rsidR="00DA4BD8">
        <w:rPr>
          <w:lang w:eastAsia="en-AU" w:bidi="ar-SA"/>
        </w:rPr>
        <w:t xml:space="preserve">also </w:t>
      </w:r>
      <w:r w:rsidR="001273D5">
        <w:rPr>
          <w:lang w:eastAsia="en-AU" w:bidi="ar-SA"/>
        </w:rPr>
        <w:t xml:space="preserve">provided that the enzyme production strain was </w:t>
      </w:r>
      <w:r w:rsidR="00DA4BD8">
        <w:rPr>
          <w:lang w:eastAsia="en-AU" w:bidi="ar-SA"/>
        </w:rPr>
        <w:t xml:space="preserve">not </w:t>
      </w:r>
      <w:r w:rsidR="001273D5">
        <w:rPr>
          <w:lang w:eastAsia="en-AU" w:bidi="ar-SA"/>
        </w:rPr>
        <w:t>detected in the liquid enzyme concentrate.</w:t>
      </w:r>
    </w:p>
    <w:p w14:paraId="39318D31" w14:textId="606D6365" w:rsidR="001273D5" w:rsidRDefault="001273D5" w:rsidP="007E2C9F">
      <w:pPr>
        <w:rPr>
          <w:lang w:eastAsia="en-AU" w:bidi="ar-SA"/>
        </w:rPr>
      </w:pPr>
    </w:p>
    <w:p w14:paraId="72436FBF" w14:textId="3B539679" w:rsidR="007E2C9F" w:rsidRDefault="007E2C9F" w:rsidP="0023482A">
      <w:pPr>
        <w:rPr>
          <w:lang w:eastAsia="en-AU" w:bidi="ar-SA"/>
        </w:rPr>
      </w:pPr>
      <w:r w:rsidRPr="007E2C9F">
        <w:rPr>
          <w:i/>
          <w:lang w:eastAsia="en-AU" w:bidi="ar-SA"/>
        </w:rPr>
        <w:t>A. oryzae</w:t>
      </w:r>
      <w:r w:rsidRPr="007E2C9F">
        <w:rPr>
          <w:lang w:eastAsia="en-AU" w:bidi="ar-SA"/>
        </w:rPr>
        <w:t xml:space="preserve"> is</w:t>
      </w:r>
      <w:r>
        <w:rPr>
          <w:lang w:eastAsia="en-AU" w:bidi="ar-SA"/>
        </w:rPr>
        <w:t xml:space="preserve"> generally considered to be a</w:t>
      </w:r>
      <w:r w:rsidRPr="007E2C9F">
        <w:rPr>
          <w:lang w:eastAsia="en-AU" w:bidi="ar-SA"/>
        </w:rPr>
        <w:t xml:space="preserve"> domesticated form of </w:t>
      </w:r>
      <w:r w:rsidRPr="007E2C9F">
        <w:rPr>
          <w:i/>
          <w:lang w:eastAsia="en-AU" w:bidi="ar-SA"/>
        </w:rPr>
        <w:t>A. flavus</w:t>
      </w:r>
      <w:r>
        <w:rPr>
          <w:lang w:eastAsia="en-AU" w:bidi="ar-SA"/>
        </w:rPr>
        <w:t>—a species which includes many aflatoxin-producing strains—and it can be difficult to differentiate between the two</w:t>
      </w:r>
      <w:r w:rsidR="000D7799">
        <w:rPr>
          <w:lang w:eastAsia="en-AU" w:bidi="ar-SA"/>
        </w:rPr>
        <w:t xml:space="preserve"> (Frisvad et al 2018)</w:t>
      </w:r>
      <w:r>
        <w:rPr>
          <w:lang w:eastAsia="en-AU" w:bidi="ar-SA"/>
        </w:rPr>
        <w:t>.</w:t>
      </w:r>
      <w:r w:rsidR="00EC409E">
        <w:rPr>
          <w:lang w:eastAsia="en-AU" w:bidi="ar-SA"/>
        </w:rPr>
        <w:t xml:space="preserve"> </w:t>
      </w:r>
      <w:r>
        <w:rPr>
          <w:lang w:eastAsia="en-AU" w:bidi="ar-SA"/>
        </w:rPr>
        <w:t xml:space="preserve">The applicant provided </w:t>
      </w:r>
      <w:r w:rsidR="00DA4BD8">
        <w:rPr>
          <w:lang w:eastAsia="en-AU" w:bidi="ar-SA"/>
        </w:rPr>
        <w:t>commercial-in-confidence evidence</w:t>
      </w:r>
      <w:r>
        <w:rPr>
          <w:lang w:eastAsia="en-AU" w:bidi="ar-SA"/>
        </w:rPr>
        <w:t xml:space="preserve"> that adequately demonstrated that the production strain was correctly identified as </w:t>
      </w:r>
      <w:r w:rsidRPr="007E2C9F">
        <w:rPr>
          <w:i/>
          <w:lang w:eastAsia="en-AU" w:bidi="ar-SA"/>
        </w:rPr>
        <w:t>A. oryzae</w:t>
      </w:r>
      <w:r>
        <w:rPr>
          <w:lang w:eastAsia="en-AU" w:bidi="ar-SA"/>
        </w:rPr>
        <w:t>.</w:t>
      </w:r>
      <w:r w:rsidR="000D7799">
        <w:rPr>
          <w:lang w:eastAsia="en-AU" w:bidi="ar-SA"/>
        </w:rPr>
        <w:t xml:space="preserve"> </w:t>
      </w:r>
      <w:r w:rsidR="000D7799" w:rsidRPr="000D7799">
        <w:rPr>
          <w:lang w:eastAsia="en-AU" w:bidi="ar-SA"/>
        </w:rPr>
        <w:t>Data</w:t>
      </w:r>
      <w:r w:rsidR="000D7799">
        <w:rPr>
          <w:lang w:eastAsia="en-AU" w:bidi="ar-SA"/>
        </w:rPr>
        <w:t xml:space="preserve"> was provided to show</w:t>
      </w:r>
      <w:r w:rsidR="000D7799" w:rsidRPr="000D7799">
        <w:rPr>
          <w:lang w:eastAsia="en-AU" w:bidi="ar-SA"/>
        </w:rPr>
        <w:t xml:space="preserve"> </w:t>
      </w:r>
      <w:r w:rsidR="000D7799">
        <w:rPr>
          <w:lang w:eastAsia="en-AU" w:bidi="ar-SA"/>
        </w:rPr>
        <w:t xml:space="preserve">that it did not produce </w:t>
      </w:r>
      <w:r w:rsidR="000D7799" w:rsidRPr="007E2C9F">
        <w:rPr>
          <w:lang w:eastAsia="en-AU" w:bidi="ar-SA"/>
        </w:rPr>
        <w:t>toxicologically significant amounts of mycotoxins</w:t>
      </w:r>
      <w:r w:rsidR="000D7799">
        <w:rPr>
          <w:lang w:eastAsia="en-AU" w:bidi="ar-SA"/>
        </w:rPr>
        <w:t>.</w:t>
      </w:r>
      <w:r w:rsidR="000D7799" w:rsidRPr="000D7799">
        <w:rPr>
          <w:lang w:eastAsia="en-AU" w:bidi="ar-SA"/>
        </w:rPr>
        <w:t xml:space="preserve"> </w:t>
      </w:r>
      <w:r w:rsidR="000D7799">
        <w:rPr>
          <w:lang w:eastAsia="en-AU" w:bidi="ar-SA"/>
        </w:rPr>
        <w:t>T</w:t>
      </w:r>
      <w:r w:rsidR="000D7799" w:rsidRPr="000D7799">
        <w:rPr>
          <w:lang w:eastAsia="en-AU" w:bidi="ar-SA"/>
        </w:rPr>
        <w:t>hree different batches of liquid enzyme concentrate—ie concentrated, filtered fermentation culture supernatant—showed levels of aflatoxins below 0.1</w:t>
      </w:r>
      <w:r w:rsidR="000D7799">
        <w:rPr>
          <w:lang w:eastAsia="en-AU" w:bidi="ar-SA"/>
        </w:rPr>
        <w:t xml:space="preserve"> </w:t>
      </w:r>
      <w:r w:rsidR="000D7799" w:rsidRPr="000D7799">
        <w:rPr>
          <w:lang w:eastAsia="en-AU" w:bidi="ar-SA"/>
        </w:rPr>
        <w:t>ug/kg</w:t>
      </w:r>
      <w:r w:rsidR="000D7799">
        <w:rPr>
          <w:lang w:eastAsia="en-AU" w:bidi="ar-SA"/>
        </w:rPr>
        <w:t>.</w:t>
      </w:r>
    </w:p>
    <w:p w14:paraId="66DCFC79" w14:textId="48BF9B2A" w:rsidR="008F5D91" w:rsidRDefault="008F5D91" w:rsidP="0023482A">
      <w:pPr>
        <w:rPr>
          <w:lang w:eastAsia="en-AU" w:bidi="ar-SA"/>
        </w:rPr>
      </w:pPr>
    </w:p>
    <w:p w14:paraId="5C2E739D" w14:textId="04BAF72D" w:rsidR="008F5D91" w:rsidRDefault="00D67083" w:rsidP="0023482A">
      <w:pPr>
        <w:rPr>
          <w:lang w:eastAsia="en-AU" w:bidi="ar-SA"/>
        </w:rPr>
      </w:pPr>
      <w:r>
        <w:rPr>
          <w:lang w:eastAsia="en-AU" w:bidi="ar-SA"/>
        </w:rPr>
        <w:t xml:space="preserve">Taking into consideration the evidence provided, and the long history of safe use of </w:t>
      </w:r>
      <w:r w:rsidRPr="00FA40BB">
        <w:rPr>
          <w:i/>
          <w:lang w:eastAsia="en-AU" w:bidi="ar-SA"/>
        </w:rPr>
        <w:t>A. oryzae</w:t>
      </w:r>
      <w:r>
        <w:rPr>
          <w:lang w:eastAsia="en-AU" w:bidi="ar-SA"/>
        </w:rPr>
        <w:t xml:space="preserve"> for food and enzyme production, i</w:t>
      </w:r>
      <w:r w:rsidR="008F5D91">
        <w:rPr>
          <w:lang w:eastAsia="en-AU" w:bidi="ar-SA"/>
        </w:rPr>
        <w:t>t is concluded that the enzyme production strain</w:t>
      </w:r>
      <w:r w:rsidR="0057613A">
        <w:rPr>
          <w:lang w:eastAsia="en-AU" w:bidi="ar-SA"/>
        </w:rPr>
        <w:t xml:space="preserve"> </w:t>
      </w:r>
      <w:r w:rsidR="0057613A" w:rsidRPr="007E2C9F">
        <w:rPr>
          <w:i/>
          <w:lang w:eastAsia="en-AU" w:bidi="ar-SA"/>
        </w:rPr>
        <w:t>A</w:t>
      </w:r>
      <w:r>
        <w:rPr>
          <w:i/>
          <w:lang w:eastAsia="en-AU" w:bidi="ar-SA"/>
        </w:rPr>
        <w:t>. </w:t>
      </w:r>
      <w:r w:rsidR="0057613A" w:rsidRPr="007E2C9F">
        <w:rPr>
          <w:i/>
          <w:lang w:eastAsia="en-AU" w:bidi="ar-SA"/>
        </w:rPr>
        <w:t>oryzae</w:t>
      </w:r>
      <w:r w:rsidR="0057613A" w:rsidRPr="007E2C9F">
        <w:rPr>
          <w:lang w:eastAsia="en-AU" w:bidi="ar-SA"/>
        </w:rPr>
        <w:t xml:space="preserve"> AR-183</w:t>
      </w:r>
      <w:r w:rsidR="008F5D91">
        <w:rPr>
          <w:lang w:eastAsia="en-AU" w:bidi="ar-SA"/>
        </w:rPr>
        <w:t xml:space="preserve"> is non-pathogenic and non-toxigenic, and does not present an unacceptable food safety risk.</w:t>
      </w:r>
    </w:p>
    <w:p w14:paraId="6E5BBAA2" w14:textId="1C34F668" w:rsidR="0008655E" w:rsidRDefault="0008655E" w:rsidP="00FC50C3">
      <w:pPr>
        <w:pStyle w:val="Heading3"/>
      </w:pPr>
      <w:bookmarkStart w:id="120" w:name="_Toc30154606"/>
      <w:bookmarkStart w:id="121" w:name="_Toc85204769"/>
      <w:bookmarkStart w:id="122" w:name="_Toc85211331"/>
      <w:bookmarkStart w:id="123" w:name="_Toc87259306"/>
      <w:bookmarkStart w:id="124" w:name="_Toc99464558"/>
      <w:bookmarkStart w:id="125" w:name="_Toc99458055"/>
      <w:bookmarkStart w:id="126" w:name="_Toc103671980"/>
      <w:r>
        <w:t>3.1.2</w:t>
      </w:r>
      <w:r>
        <w:tab/>
        <w:t>Gene donor organism</w:t>
      </w:r>
      <w:bookmarkEnd w:id="120"/>
      <w:bookmarkEnd w:id="121"/>
      <w:bookmarkEnd w:id="122"/>
      <w:bookmarkEnd w:id="123"/>
      <w:bookmarkEnd w:id="124"/>
      <w:bookmarkEnd w:id="125"/>
      <w:bookmarkEnd w:id="126"/>
    </w:p>
    <w:p w14:paraId="10C9AF6F" w14:textId="28518FA4" w:rsidR="002D3CEC" w:rsidRPr="0023482A" w:rsidRDefault="002D3CEC" w:rsidP="0023482A">
      <w:pPr>
        <w:rPr>
          <w:lang w:eastAsia="en-AU" w:bidi="ar-SA"/>
        </w:rPr>
      </w:pPr>
      <w:r>
        <w:rPr>
          <w:lang w:eastAsia="en-AU" w:bidi="ar-SA"/>
        </w:rPr>
        <w:t xml:space="preserve">The gene for </w:t>
      </w:r>
      <w:r w:rsidR="00D41BA0">
        <w:rPr>
          <w:lang w:eastAsia="en-AU" w:bidi="ar-SA"/>
        </w:rPr>
        <w:t>the po</w:t>
      </w:r>
      <w:r w:rsidR="008D190D">
        <w:rPr>
          <w:lang w:eastAsia="en-AU" w:bidi="ar-SA"/>
        </w:rPr>
        <w:t>l</w:t>
      </w:r>
      <w:r w:rsidR="00D41BA0">
        <w:rPr>
          <w:lang w:eastAsia="en-AU" w:bidi="ar-SA"/>
        </w:rPr>
        <w:t>ygalacturonase</w:t>
      </w:r>
      <w:r>
        <w:rPr>
          <w:lang w:eastAsia="en-AU" w:bidi="ar-SA"/>
        </w:rPr>
        <w:t xml:space="preserve"> enzyme was isolated from</w:t>
      </w:r>
      <w:r w:rsidR="00D41BA0">
        <w:rPr>
          <w:lang w:eastAsia="en-AU" w:bidi="ar-SA"/>
        </w:rPr>
        <w:t xml:space="preserve"> </w:t>
      </w:r>
      <w:r w:rsidR="008B6655">
        <w:rPr>
          <w:i/>
        </w:rPr>
        <w:t xml:space="preserve">A. </w:t>
      </w:r>
      <w:r w:rsidR="00BD777F">
        <w:rPr>
          <w:i/>
        </w:rPr>
        <w:t>tub</w:t>
      </w:r>
      <w:r w:rsidR="00D41BA0" w:rsidRPr="00B16456">
        <w:rPr>
          <w:i/>
        </w:rPr>
        <w:t>ingensis</w:t>
      </w:r>
      <w:r w:rsidR="00D41BA0">
        <w:rPr>
          <w:lang w:eastAsia="en-AU" w:bidi="ar-SA"/>
        </w:rPr>
        <w:t xml:space="preserve">, </w:t>
      </w:r>
      <w:r>
        <w:rPr>
          <w:lang w:eastAsia="en-AU" w:bidi="ar-SA"/>
        </w:rPr>
        <w:t xml:space="preserve">a filamentous fungus </w:t>
      </w:r>
      <w:r w:rsidR="00D41BA0">
        <w:rPr>
          <w:lang w:eastAsia="en-AU" w:bidi="ar-SA"/>
        </w:rPr>
        <w:t xml:space="preserve">belonging to </w:t>
      </w:r>
      <w:r w:rsidR="00D41BA0" w:rsidRPr="00A06340">
        <w:rPr>
          <w:i/>
          <w:lang w:eastAsia="en-AU" w:bidi="ar-SA"/>
        </w:rPr>
        <w:t>Aspergillus</w:t>
      </w:r>
      <w:r w:rsidR="00D41BA0">
        <w:rPr>
          <w:lang w:eastAsia="en-AU" w:bidi="ar-SA"/>
        </w:rPr>
        <w:t xml:space="preserve"> section Nigri (the black </w:t>
      </w:r>
      <w:r w:rsidR="00D41BA0" w:rsidRPr="00BD777F">
        <w:rPr>
          <w:lang w:eastAsia="en-AU" w:bidi="ar-SA"/>
        </w:rPr>
        <w:t>aspergilli; Samson et al. 2006</w:t>
      </w:r>
      <w:r w:rsidR="00A06340" w:rsidRPr="00BD777F">
        <w:rPr>
          <w:lang w:eastAsia="en-AU" w:bidi="ar-SA"/>
        </w:rPr>
        <w:t>).</w:t>
      </w:r>
      <w:r w:rsidR="00353B1F">
        <w:rPr>
          <w:lang w:eastAsia="en-AU" w:bidi="ar-SA"/>
        </w:rPr>
        <w:br/>
      </w:r>
      <w:r w:rsidR="00A06340" w:rsidRPr="00A06340">
        <w:rPr>
          <w:i/>
          <w:lang w:eastAsia="en-AU" w:bidi="ar-SA"/>
        </w:rPr>
        <w:t>A. tubinge</w:t>
      </w:r>
      <w:r w:rsidR="00BD777F">
        <w:rPr>
          <w:i/>
          <w:lang w:eastAsia="en-AU" w:bidi="ar-SA"/>
        </w:rPr>
        <w:t>n</w:t>
      </w:r>
      <w:r w:rsidR="00A06340" w:rsidRPr="00A06340">
        <w:rPr>
          <w:i/>
          <w:lang w:eastAsia="en-AU" w:bidi="ar-SA"/>
        </w:rPr>
        <w:t>sis</w:t>
      </w:r>
      <w:r w:rsidR="00A06340">
        <w:rPr>
          <w:lang w:eastAsia="en-AU" w:bidi="ar-SA"/>
        </w:rPr>
        <w:t xml:space="preserve"> has been implicated in skin, ear and respiratory infections in humans (</w:t>
      </w:r>
      <w:r w:rsidR="00A06340" w:rsidRPr="00A06340">
        <w:rPr>
          <w:lang w:eastAsia="en-AU" w:bidi="ar-SA"/>
        </w:rPr>
        <w:t>Gautier</w:t>
      </w:r>
      <w:r w:rsidR="00A06340">
        <w:rPr>
          <w:lang w:eastAsia="en-AU" w:bidi="ar-SA"/>
        </w:rPr>
        <w:t xml:space="preserve"> et al. 2016). </w:t>
      </w:r>
      <w:r w:rsidR="00F70F5B" w:rsidRPr="00F70F5B">
        <w:rPr>
          <w:lang w:eastAsia="en-AU" w:bidi="ar-SA"/>
        </w:rPr>
        <w:t xml:space="preserve">However, as the </w:t>
      </w:r>
      <w:r w:rsidR="00A06340">
        <w:rPr>
          <w:lang w:eastAsia="en-AU" w:bidi="ar-SA"/>
        </w:rPr>
        <w:t>po</w:t>
      </w:r>
      <w:r w:rsidR="008D190D">
        <w:rPr>
          <w:lang w:eastAsia="en-AU" w:bidi="ar-SA"/>
        </w:rPr>
        <w:t>l</w:t>
      </w:r>
      <w:r w:rsidR="00A06340">
        <w:rPr>
          <w:lang w:eastAsia="en-AU" w:bidi="ar-SA"/>
        </w:rPr>
        <w:t>ygalacturonase</w:t>
      </w:r>
      <w:r w:rsidR="00A06340" w:rsidRPr="00F70F5B">
        <w:rPr>
          <w:lang w:eastAsia="en-AU" w:bidi="ar-SA"/>
        </w:rPr>
        <w:t xml:space="preserve"> </w:t>
      </w:r>
      <w:r w:rsidR="00F70F5B" w:rsidRPr="00F70F5B">
        <w:rPr>
          <w:lang w:eastAsia="en-AU" w:bidi="ar-SA"/>
        </w:rPr>
        <w:t xml:space="preserve">gene has been manipulated through standard DNA cloning methods, </w:t>
      </w:r>
      <w:r w:rsidR="00BD777F">
        <w:rPr>
          <w:lang w:eastAsia="en-AU" w:bidi="ar-SA"/>
        </w:rPr>
        <w:t xml:space="preserve">and </w:t>
      </w:r>
      <w:r w:rsidR="00F70F5B" w:rsidRPr="00F70F5B">
        <w:rPr>
          <w:lang w:eastAsia="en-AU" w:bidi="ar-SA"/>
        </w:rPr>
        <w:t xml:space="preserve">extraneous material from </w:t>
      </w:r>
      <w:r w:rsidR="00A06340">
        <w:rPr>
          <w:i/>
          <w:lang w:eastAsia="en-AU" w:bidi="ar-SA"/>
        </w:rPr>
        <w:t>A</w:t>
      </w:r>
      <w:r w:rsidR="00A06340" w:rsidRPr="00A06340">
        <w:rPr>
          <w:i/>
        </w:rPr>
        <w:t>.</w:t>
      </w:r>
      <w:r w:rsidR="00BD777F">
        <w:rPr>
          <w:i/>
        </w:rPr>
        <w:t xml:space="preserve"> tub</w:t>
      </w:r>
      <w:r w:rsidR="00A06340" w:rsidRPr="00B16456">
        <w:rPr>
          <w:i/>
        </w:rPr>
        <w:t>ingensis</w:t>
      </w:r>
      <w:r w:rsidR="00F70F5B" w:rsidRPr="00F70F5B">
        <w:rPr>
          <w:lang w:eastAsia="en-AU" w:bidi="ar-SA"/>
        </w:rPr>
        <w:t xml:space="preserve"> would not be carried across to the enzyme production organism</w:t>
      </w:r>
      <w:r w:rsidR="00BD777F">
        <w:rPr>
          <w:lang w:eastAsia="en-AU" w:bidi="ar-SA"/>
        </w:rPr>
        <w:t>, no food safety hazard is identified</w:t>
      </w:r>
      <w:r w:rsidR="00A06340">
        <w:rPr>
          <w:lang w:eastAsia="en-AU" w:bidi="ar-SA"/>
        </w:rPr>
        <w:t>.</w:t>
      </w:r>
    </w:p>
    <w:p w14:paraId="236C8BFE" w14:textId="77777777" w:rsidR="0008655E" w:rsidRDefault="0008655E" w:rsidP="0008655E">
      <w:pPr>
        <w:pStyle w:val="Heading2"/>
      </w:pPr>
      <w:bookmarkStart w:id="127" w:name="_Toc499282443"/>
      <w:bookmarkStart w:id="128" w:name="_Toc505255640"/>
      <w:bookmarkStart w:id="129" w:name="_Toc536543999"/>
      <w:bookmarkStart w:id="130" w:name="_Toc536607134"/>
      <w:bookmarkStart w:id="131" w:name="_Toc30154607"/>
      <w:bookmarkStart w:id="132" w:name="_Toc85204770"/>
      <w:bookmarkStart w:id="133" w:name="_Toc85211332"/>
      <w:bookmarkStart w:id="134" w:name="_Toc87259307"/>
      <w:bookmarkStart w:id="135" w:name="_Toc99464559"/>
      <w:bookmarkStart w:id="136" w:name="_Toc99458056"/>
      <w:bookmarkStart w:id="137" w:name="_Toc103671981"/>
      <w:r>
        <w:t>3.2</w:t>
      </w:r>
      <w:r>
        <w:tab/>
        <w:t>Characterisation of the genetic modification(s)</w:t>
      </w:r>
      <w:bookmarkEnd w:id="127"/>
      <w:bookmarkEnd w:id="128"/>
      <w:bookmarkEnd w:id="129"/>
      <w:bookmarkEnd w:id="130"/>
      <w:bookmarkEnd w:id="131"/>
      <w:bookmarkEnd w:id="132"/>
      <w:bookmarkEnd w:id="133"/>
      <w:bookmarkEnd w:id="134"/>
      <w:bookmarkEnd w:id="135"/>
      <w:bookmarkEnd w:id="136"/>
      <w:bookmarkEnd w:id="137"/>
    </w:p>
    <w:p w14:paraId="16434D04" w14:textId="36ED36F7" w:rsidR="0008655E" w:rsidRDefault="0008655E" w:rsidP="00FC50C3">
      <w:pPr>
        <w:pStyle w:val="Heading3"/>
      </w:pPr>
      <w:bookmarkStart w:id="138" w:name="_Toc85204771"/>
      <w:bookmarkStart w:id="139" w:name="_Toc85211333"/>
      <w:bookmarkStart w:id="140" w:name="_Toc87259308"/>
      <w:bookmarkStart w:id="141" w:name="_Toc99464560"/>
      <w:bookmarkStart w:id="142" w:name="_Toc99458057"/>
      <w:bookmarkStart w:id="143" w:name="_Toc103671982"/>
      <w:r>
        <w:t>3.2.1</w:t>
      </w:r>
      <w:r>
        <w:tab/>
        <w:t>Description of the DNA to be introduced and method of transformation</w:t>
      </w:r>
      <w:bookmarkEnd w:id="138"/>
      <w:bookmarkEnd w:id="139"/>
      <w:bookmarkEnd w:id="140"/>
      <w:bookmarkEnd w:id="141"/>
      <w:bookmarkEnd w:id="142"/>
      <w:bookmarkEnd w:id="143"/>
    </w:p>
    <w:p w14:paraId="03C76EA1" w14:textId="2D9164B9" w:rsidR="008A6203" w:rsidRDefault="00320FEA" w:rsidP="008A6203">
      <w:pPr>
        <w:spacing w:after="240"/>
      </w:pPr>
      <w:r>
        <w:t>An expression cassette</w:t>
      </w:r>
      <w:r w:rsidR="00EB0BB6">
        <w:t xml:space="preserve"> containing the</w:t>
      </w:r>
      <w:r w:rsidR="00EB0BB6" w:rsidRPr="00EB0BB6">
        <w:rPr>
          <w:szCs w:val="22"/>
        </w:rPr>
        <w:t xml:space="preserve"> </w:t>
      </w:r>
      <w:r w:rsidR="00EB0BB6">
        <w:rPr>
          <w:szCs w:val="22"/>
        </w:rPr>
        <w:t xml:space="preserve">polygalacturonase </w:t>
      </w:r>
      <w:r w:rsidR="00EB0BB6" w:rsidRPr="0008655E">
        <w:t>gene</w:t>
      </w:r>
      <w:r>
        <w:t xml:space="preserve"> was introduced into </w:t>
      </w:r>
      <w:r w:rsidR="00DC4B91">
        <w:t xml:space="preserve">a spontaneous mutant </w:t>
      </w:r>
      <w:r w:rsidR="00FB7194">
        <w:t xml:space="preserve">host </w:t>
      </w:r>
      <w:r w:rsidR="00DC4B91">
        <w:t>strain of</w:t>
      </w:r>
      <w:r w:rsidR="00122918">
        <w:t xml:space="preserve"> </w:t>
      </w:r>
      <w:r w:rsidRPr="00986D29">
        <w:rPr>
          <w:i/>
        </w:rPr>
        <w:t>A. oryzae</w:t>
      </w:r>
      <w:r w:rsidR="00FB7194">
        <w:rPr>
          <w:i/>
        </w:rPr>
        <w:t xml:space="preserve">, </w:t>
      </w:r>
      <w:r w:rsidR="00FB7194" w:rsidRPr="00FB7194">
        <w:t>producing the AR-183 production strain</w:t>
      </w:r>
      <w:r w:rsidRPr="00FB7194">
        <w:t>.</w:t>
      </w:r>
      <w:r>
        <w:t xml:space="preserve"> </w:t>
      </w:r>
      <w:r w:rsidR="00EB0BB6">
        <w:rPr>
          <w:rFonts w:cs="Arial"/>
          <w:color w:val="000000"/>
          <w:szCs w:val="22"/>
        </w:rPr>
        <w:t>The</w:t>
      </w:r>
      <w:r>
        <w:rPr>
          <w:rFonts w:cs="Arial"/>
          <w:color w:val="000000"/>
          <w:szCs w:val="22"/>
        </w:rPr>
        <w:t xml:space="preserve"> </w:t>
      </w:r>
      <w:r>
        <w:rPr>
          <w:szCs w:val="22"/>
        </w:rPr>
        <w:t xml:space="preserve">polygalacturonase </w:t>
      </w:r>
      <w:r w:rsidRPr="0008655E">
        <w:t>gene</w:t>
      </w:r>
      <w:r>
        <w:rPr>
          <w:rFonts w:cs="Arial"/>
          <w:color w:val="000000"/>
          <w:szCs w:val="22"/>
        </w:rPr>
        <w:t xml:space="preserve"> </w:t>
      </w:r>
      <w:r w:rsidR="00EB0BB6">
        <w:rPr>
          <w:rFonts w:cs="Arial"/>
          <w:color w:val="000000"/>
          <w:szCs w:val="22"/>
        </w:rPr>
        <w:t xml:space="preserve">is </w:t>
      </w:r>
      <w:r>
        <w:rPr>
          <w:rFonts w:cs="Arial"/>
          <w:color w:val="000000"/>
          <w:szCs w:val="22"/>
        </w:rPr>
        <w:t xml:space="preserve">derived from </w:t>
      </w:r>
      <w:r w:rsidRPr="008F2BB9">
        <w:rPr>
          <w:i/>
        </w:rPr>
        <w:t>A.</w:t>
      </w:r>
      <w:r w:rsidR="00BD777F">
        <w:rPr>
          <w:i/>
        </w:rPr>
        <w:t xml:space="preserve"> tubing</w:t>
      </w:r>
      <w:r>
        <w:rPr>
          <w:i/>
        </w:rPr>
        <w:t>ensis</w:t>
      </w:r>
      <w:r>
        <w:t xml:space="preserve"> and </w:t>
      </w:r>
      <w:r w:rsidR="00C534E4">
        <w:t xml:space="preserve">is </w:t>
      </w:r>
      <w:r>
        <w:rPr>
          <w:rFonts w:cs="Arial"/>
          <w:color w:val="000000"/>
          <w:szCs w:val="22"/>
        </w:rPr>
        <w:t>under the control of a</w:t>
      </w:r>
      <w:r w:rsidR="00683DE1">
        <w:rPr>
          <w:rFonts w:cs="Arial"/>
          <w:color w:val="000000"/>
          <w:szCs w:val="22"/>
        </w:rPr>
        <w:t xml:space="preserve"> </w:t>
      </w:r>
      <w:r>
        <w:rPr>
          <w:rFonts w:cs="Arial"/>
          <w:color w:val="000000"/>
          <w:szCs w:val="22"/>
        </w:rPr>
        <w:t>promoter</w:t>
      </w:r>
      <w:r w:rsidR="00683DE1">
        <w:rPr>
          <w:rFonts w:cs="Arial"/>
          <w:color w:val="000000"/>
          <w:szCs w:val="22"/>
        </w:rPr>
        <w:t xml:space="preserve"> and terminator</w:t>
      </w:r>
      <w:r>
        <w:rPr>
          <w:rFonts w:cs="Arial"/>
          <w:color w:val="000000"/>
          <w:szCs w:val="22"/>
        </w:rPr>
        <w:t>.</w:t>
      </w:r>
      <w:r w:rsidR="00E66AA0">
        <w:rPr>
          <w:rFonts w:cs="Arial"/>
          <w:color w:val="000000"/>
          <w:szCs w:val="22"/>
        </w:rPr>
        <w:t xml:space="preserve"> </w:t>
      </w:r>
      <w:r w:rsidR="00E66AA0" w:rsidRPr="00986D29">
        <w:t xml:space="preserve">Data provided by the applicant and analysed by FSANZ confirmed </w:t>
      </w:r>
      <w:r w:rsidR="00EB0BB6">
        <w:t>the</w:t>
      </w:r>
      <w:r w:rsidR="00E66AA0">
        <w:t xml:space="preserve"> identity</w:t>
      </w:r>
      <w:r w:rsidR="00EB0BB6">
        <w:t xml:space="preserve"> of the</w:t>
      </w:r>
      <w:r w:rsidR="00EB0BB6" w:rsidRPr="00EB0BB6">
        <w:rPr>
          <w:szCs w:val="22"/>
        </w:rPr>
        <w:t xml:space="preserve"> </w:t>
      </w:r>
      <w:r w:rsidR="00EB0BB6">
        <w:rPr>
          <w:szCs w:val="22"/>
        </w:rPr>
        <w:t>polygalacturonase enzyme</w:t>
      </w:r>
      <w:r w:rsidR="008F5D91">
        <w:t>.</w:t>
      </w:r>
    </w:p>
    <w:p w14:paraId="052F6389" w14:textId="492BD848" w:rsidR="00EC53A2" w:rsidRPr="00490C65" w:rsidRDefault="00C534E4" w:rsidP="00490C65">
      <w:pPr>
        <w:spacing w:after="240"/>
        <w:rPr>
          <w:rFonts w:cs="Arial"/>
          <w:color w:val="000000"/>
          <w:szCs w:val="22"/>
        </w:rPr>
      </w:pPr>
      <w:r>
        <w:rPr>
          <w:rFonts w:cs="Arial"/>
          <w:color w:val="000000"/>
          <w:szCs w:val="22"/>
        </w:rPr>
        <w:lastRenderedPageBreak/>
        <w:t>T</w:t>
      </w:r>
      <w:r w:rsidR="00320FEA">
        <w:rPr>
          <w:rFonts w:cs="Arial"/>
          <w:color w:val="000000"/>
          <w:szCs w:val="22"/>
        </w:rPr>
        <w:t>he acetamidase gene (</w:t>
      </w:r>
      <w:r w:rsidR="00320FEA">
        <w:rPr>
          <w:rFonts w:cs="Arial"/>
          <w:i/>
          <w:iCs/>
          <w:color w:val="000000"/>
          <w:szCs w:val="22"/>
        </w:rPr>
        <w:t>amdS)</w:t>
      </w:r>
      <w:r w:rsidR="00320FEA">
        <w:rPr>
          <w:rFonts w:cs="Arial"/>
          <w:color w:val="000000"/>
          <w:szCs w:val="22"/>
        </w:rPr>
        <w:t xml:space="preserve"> from</w:t>
      </w:r>
      <w:r w:rsidR="00320FEA">
        <w:rPr>
          <w:rFonts w:cs="Arial"/>
          <w:i/>
          <w:iCs/>
          <w:color w:val="000000"/>
          <w:szCs w:val="22"/>
        </w:rPr>
        <w:t xml:space="preserve"> </w:t>
      </w:r>
      <w:r w:rsidR="000C70B4">
        <w:rPr>
          <w:rFonts w:cs="Arial"/>
          <w:i/>
          <w:iCs/>
          <w:color w:val="000000"/>
          <w:szCs w:val="22"/>
        </w:rPr>
        <w:t>Aspergillus</w:t>
      </w:r>
      <w:r w:rsidR="00320FEA">
        <w:rPr>
          <w:rFonts w:cs="Arial"/>
          <w:i/>
          <w:iCs/>
          <w:color w:val="000000"/>
          <w:szCs w:val="22"/>
        </w:rPr>
        <w:t> </w:t>
      </w:r>
      <w:r w:rsidR="00FA40BB">
        <w:rPr>
          <w:rFonts w:cs="Arial"/>
          <w:i/>
          <w:iCs/>
          <w:color w:val="000000"/>
          <w:szCs w:val="22"/>
        </w:rPr>
        <w:t>n</w:t>
      </w:r>
      <w:r w:rsidR="00320FEA">
        <w:rPr>
          <w:rFonts w:cs="Arial"/>
          <w:i/>
          <w:iCs/>
          <w:color w:val="000000"/>
          <w:szCs w:val="22"/>
        </w:rPr>
        <w:t>idulans</w:t>
      </w:r>
      <w:r w:rsidR="008B6655">
        <w:rPr>
          <w:rFonts w:cs="Arial"/>
          <w:i/>
          <w:iCs/>
          <w:color w:val="000000"/>
          <w:szCs w:val="22"/>
        </w:rPr>
        <w:t xml:space="preserve"> </w:t>
      </w:r>
      <w:r w:rsidR="008B6655">
        <w:rPr>
          <w:rFonts w:cs="Arial"/>
          <w:iCs/>
          <w:color w:val="000000"/>
          <w:szCs w:val="22"/>
        </w:rPr>
        <w:t>(</w:t>
      </w:r>
      <w:r w:rsidR="008B6655">
        <w:rPr>
          <w:rFonts w:cs="Arial"/>
          <w:i/>
          <w:iCs/>
          <w:color w:val="000000"/>
          <w:szCs w:val="22"/>
        </w:rPr>
        <w:t>A. nidulans</w:t>
      </w:r>
      <w:r w:rsidR="008B6655">
        <w:rPr>
          <w:rFonts w:cs="Arial"/>
          <w:iCs/>
          <w:color w:val="000000"/>
          <w:szCs w:val="22"/>
        </w:rPr>
        <w:t>)</w:t>
      </w:r>
      <w:r w:rsidR="00320FEA">
        <w:rPr>
          <w:rFonts w:cs="Arial"/>
          <w:i/>
          <w:iCs/>
          <w:color w:val="000000"/>
          <w:szCs w:val="22"/>
        </w:rPr>
        <w:t xml:space="preserve"> </w:t>
      </w:r>
      <w:r>
        <w:rPr>
          <w:rFonts w:cs="Arial"/>
          <w:color w:val="000000"/>
          <w:szCs w:val="22"/>
        </w:rPr>
        <w:t xml:space="preserve">is also </w:t>
      </w:r>
      <w:r w:rsidR="005409F7">
        <w:rPr>
          <w:rFonts w:cs="Arial"/>
          <w:color w:val="000000"/>
          <w:szCs w:val="22"/>
        </w:rPr>
        <w:t xml:space="preserve">found </w:t>
      </w:r>
      <w:r w:rsidR="00846A42">
        <w:rPr>
          <w:rFonts w:cs="Arial"/>
          <w:color w:val="000000"/>
          <w:szCs w:val="22"/>
        </w:rPr>
        <w:t>in</w:t>
      </w:r>
      <w:r w:rsidR="005409F7">
        <w:rPr>
          <w:rFonts w:cs="Arial"/>
          <w:color w:val="000000"/>
          <w:szCs w:val="22"/>
        </w:rPr>
        <w:t xml:space="preserve"> the</w:t>
      </w:r>
      <w:r>
        <w:rPr>
          <w:rFonts w:cs="Arial"/>
          <w:color w:val="000000"/>
          <w:szCs w:val="22"/>
        </w:rPr>
        <w:t xml:space="preserve"> expression cassette</w:t>
      </w:r>
      <w:r w:rsidR="007E267F">
        <w:rPr>
          <w:rFonts w:cs="Arial"/>
          <w:color w:val="000000"/>
          <w:szCs w:val="22"/>
        </w:rPr>
        <w:t xml:space="preserve"> </w:t>
      </w:r>
      <w:r w:rsidR="007E267F" w:rsidRPr="007E267F">
        <w:rPr>
          <w:rFonts w:cs="Arial"/>
          <w:szCs w:val="22"/>
        </w:rPr>
        <w:t>(Kelly and Hynes, 1985)</w:t>
      </w:r>
      <w:r w:rsidRPr="007E267F">
        <w:rPr>
          <w:rFonts w:cs="Arial"/>
          <w:szCs w:val="22"/>
        </w:rPr>
        <w:t xml:space="preserve">. </w:t>
      </w:r>
      <w:r w:rsidR="00320FEA" w:rsidRPr="007E267F">
        <w:rPr>
          <w:rFonts w:cs="Arial"/>
          <w:szCs w:val="22"/>
        </w:rPr>
        <w:t xml:space="preserve">The </w:t>
      </w:r>
      <w:r w:rsidR="00320FEA" w:rsidRPr="007E267F">
        <w:rPr>
          <w:rFonts w:cs="Arial"/>
          <w:i/>
          <w:iCs/>
          <w:szCs w:val="22"/>
        </w:rPr>
        <w:t>amdS</w:t>
      </w:r>
      <w:r w:rsidR="00320FEA" w:rsidRPr="007E267F">
        <w:rPr>
          <w:rFonts w:cs="Arial"/>
          <w:szCs w:val="22"/>
        </w:rPr>
        <w:t xml:space="preserve"> gene allows for selectio</w:t>
      </w:r>
      <w:r w:rsidR="008F5D91">
        <w:rPr>
          <w:rFonts w:cs="Arial"/>
          <w:szCs w:val="22"/>
        </w:rPr>
        <w:t>n of transformants on acetamide</w:t>
      </w:r>
      <w:r w:rsidR="008F5D91">
        <w:rPr>
          <w:rFonts w:cs="Arial"/>
          <w:szCs w:val="22"/>
        </w:rPr>
        <w:noBreakHyphen/>
      </w:r>
      <w:r w:rsidR="00320FEA" w:rsidRPr="007E267F">
        <w:rPr>
          <w:rFonts w:cs="Arial"/>
          <w:szCs w:val="22"/>
        </w:rPr>
        <w:t xml:space="preserve">containing </w:t>
      </w:r>
      <w:r w:rsidR="0093703C">
        <w:rPr>
          <w:rFonts w:cs="Arial"/>
          <w:szCs w:val="22"/>
        </w:rPr>
        <w:t>media</w:t>
      </w:r>
      <w:r w:rsidR="00EB0BB6" w:rsidRPr="007E267F">
        <w:rPr>
          <w:rFonts w:cs="Arial"/>
          <w:szCs w:val="22"/>
        </w:rPr>
        <w:t xml:space="preserve">. </w:t>
      </w:r>
      <w:r w:rsidR="0093703C">
        <w:rPr>
          <w:rFonts w:cs="Arial"/>
          <w:szCs w:val="22"/>
        </w:rPr>
        <w:t>Acetamide</w:t>
      </w:r>
      <w:r w:rsidR="0093703C" w:rsidRPr="007E267F">
        <w:rPr>
          <w:rFonts w:cs="Arial"/>
          <w:szCs w:val="22"/>
        </w:rPr>
        <w:t xml:space="preserve"> </w:t>
      </w:r>
      <w:r w:rsidR="00320FEA" w:rsidRPr="007E267F">
        <w:rPr>
          <w:rFonts w:cs="Arial"/>
          <w:szCs w:val="22"/>
        </w:rPr>
        <w:t xml:space="preserve">has </w:t>
      </w:r>
      <w:r w:rsidR="00320FEA">
        <w:rPr>
          <w:rFonts w:cs="Arial"/>
          <w:color w:val="000000"/>
          <w:szCs w:val="22"/>
        </w:rPr>
        <w:t>been widely used as a selection marker in fungal transformations</w:t>
      </w:r>
      <w:r w:rsidR="00320FEA">
        <w:rPr>
          <w:rFonts w:cs="Arial"/>
          <w:i/>
          <w:iCs/>
          <w:szCs w:val="22"/>
        </w:rPr>
        <w:t xml:space="preserve">. </w:t>
      </w:r>
      <w:r w:rsidR="00320FEA">
        <w:rPr>
          <w:rFonts w:cs="Arial"/>
          <w:szCs w:val="22"/>
        </w:rPr>
        <w:t xml:space="preserve">The inclusion of this selection marker is standard in filamentous fungi systems producing a variety of recombinant gene </w:t>
      </w:r>
      <w:r w:rsidR="00320FEA" w:rsidRPr="007E267F">
        <w:rPr>
          <w:rFonts w:cs="Arial"/>
          <w:szCs w:val="22"/>
        </w:rPr>
        <w:t xml:space="preserve">products (Gryshyna </w:t>
      </w:r>
      <w:r w:rsidR="00320FEA" w:rsidRPr="007E267F">
        <w:rPr>
          <w:rFonts w:cs="Arial"/>
          <w:i/>
          <w:iCs/>
          <w:szCs w:val="22"/>
        </w:rPr>
        <w:t>et al.,</w:t>
      </w:r>
      <w:r w:rsidR="00320FEA" w:rsidRPr="007E267F">
        <w:rPr>
          <w:rFonts w:cs="Arial"/>
          <w:szCs w:val="22"/>
        </w:rPr>
        <w:t xml:space="preserve"> 2016) and </w:t>
      </w:r>
      <w:r w:rsidR="00320FEA">
        <w:rPr>
          <w:rFonts w:cs="Arial"/>
          <w:szCs w:val="22"/>
        </w:rPr>
        <w:t>there are no safety concerns</w:t>
      </w:r>
      <w:r w:rsidR="0093703C">
        <w:rPr>
          <w:rFonts w:cs="Arial"/>
          <w:szCs w:val="22"/>
        </w:rPr>
        <w:t xml:space="preserve"> with its use</w:t>
      </w:r>
      <w:r w:rsidR="00320FEA">
        <w:rPr>
          <w:rFonts w:cs="Arial"/>
          <w:szCs w:val="22"/>
        </w:rPr>
        <w:t>.</w:t>
      </w:r>
    </w:p>
    <w:p w14:paraId="48095E15" w14:textId="4B48E606" w:rsidR="00EC53A2" w:rsidRPr="00EC53A2" w:rsidRDefault="00EC53A2" w:rsidP="00F92A14">
      <w:pPr>
        <w:rPr>
          <w:szCs w:val="22"/>
        </w:rPr>
      </w:pPr>
      <w:r>
        <w:rPr>
          <w:rFonts w:cs="Arial"/>
          <w:szCs w:val="22"/>
        </w:rPr>
        <w:t xml:space="preserve">The expression cassette was integrated into the genome of the </w:t>
      </w:r>
      <w:r w:rsidR="00FB7194">
        <w:t>host</w:t>
      </w:r>
      <w:r>
        <w:rPr>
          <w:rFonts w:cs="Arial"/>
          <w:szCs w:val="22"/>
        </w:rPr>
        <w:t xml:space="preserve"> strain through standard transformation techniques using protoplasts. </w:t>
      </w:r>
      <w:r w:rsidR="00122918">
        <w:rPr>
          <w:rFonts w:cs="Arial"/>
          <w:szCs w:val="22"/>
        </w:rPr>
        <w:t>While a plasmid was used in the construction of the expression cassette, n</w:t>
      </w:r>
      <w:r>
        <w:rPr>
          <w:rFonts w:cs="Arial"/>
          <w:szCs w:val="22"/>
        </w:rPr>
        <w:t>o plasmid derived sequences were integrated</w:t>
      </w:r>
      <w:r w:rsidR="008F5D91">
        <w:rPr>
          <w:rFonts w:cs="Arial"/>
          <w:szCs w:val="22"/>
        </w:rPr>
        <w:t>.</w:t>
      </w:r>
    </w:p>
    <w:p w14:paraId="212C4F01" w14:textId="31A6B8F9" w:rsidR="0008655E" w:rsidRDefault="0008655E" w:rsidP="00FC50C3">
      <w:pPr>
        <w:pStyle w:val="Heading3"/>
      </w:pPr>
      <w:bookmarkStart w:id="144" w:name="_Toc85204772"/>
      <w:bookmarkStart w:id="145" w:name="_Toc85211334"/>
      <w:bookmarkStart w:id="146" w:name="_Toc87259309"/>
      <w:bookmarkStart w:id="147" w:name="_Toc99464561"/>
      <w:bookmarkStart w:id="148" w:name="_Toc99458058"/>
      <w:bookmarkStart w:id="149" w:name="_Toc103671983"/>
      <w:r>
        <w:t>3.2.2</w:t>
      </w:r>
      <w:r>
        <w:tab/>
        <w:t>Characterisation of inserted DNA</w:t>
      </w:r>
      <w:bookmarkEnd w:id="144"/>
      <w:bookmarkEnd w:id="145"/>
      <w:bookmarkEnd w:id="146"/>
      <w:bookmarkEnd w:id="147"/>
      <w:bookmarkEnd w:id="148"/>
      <w:bookmarkEnd w:id="149"/>
    </w:p>
    <w:p w14:paraId="5EE037F9" w14:textId="798A571B" w:rsidR="00125CD8" w:rsidRPr="000B7111" w:rsidRDefault="00683DE1" w:rsidP="00490C65">
      <w:pPr>
        <w:spacing w:after="240"/>
        <w:rPr>
          <w:lang w:eastAsia="en-AU" w:bidi="ar-SA"/>
        </w:rPr>
      </w:pPr>
      <w:r>
        <w:rPr>
          <w:lang w:eastAsia="en-AU" w:bidi="ar-SA"/>
        </w:rPr>
        <w:t xml:space="preserve">Southern blot analysis </w:t>
      </w:r>
      <w:r w:rsidR="00402F6D">
        <w:rPr>
          <w:lang w:eastAsia="en-AU" w:bidi="ar-SA"/>
        </w:rPr>
        <w:t>was</w:t>
      </w:r>
      <w:r>
        <w:rPr>
          <w:lang w:eastAsia="en-AU" w:bidi="ar-SA"/>
        </w:rPr>
        <w:t xml:space="preserve"> used to characterise the inserted DNA in the </w:t>
      </w:r>
      <w:r w:rsidR="00FB7194">
        <w:rPr>
          <w:lang w:eastAsia="en-AU" w:bidi="ar-SA"/>
        </w:rPr>
        <w:t xml:space="preserve">AR-183 </w:t>
      </w:r>
      <w:r>
        <w:rPr>
          <w:lang w:eastAsia="en-AU" w:bidi="ar-SA"/>
        </w:rPr>
        <w:t>production strain. Th</w:t>
      </w:r>
      <w:r w:rsidR="00402F6D">
        <w:rPr>
          <w:lang w:eastAsia="en-AU" w:bidi="ar-SA"/>
        </w:rPr>
        <w:t xml:space="preserve">e results indicate the presence of the expression cassette in the genome of </w:t>
      </w:r>
      <w:r w:rsidR="008F5D91">
        <w:t>AR</w:t>
      </w:r>
      <w:r w:rsidR="008F5D91">
        <w:noBreakHyphen/>
      </w:r>
      <w:r w:rsidR="00402F6D">
        <w:t>183.</w:t>
      </w:r>
    </w:p>
    <w:p w14:paraId="641303B8" w14:textId="521235A2" w:rsidR="00683DE1" w:rsidRDefault="00125CD8" w:rsidP="00DA4BD8">
      <w:pPr>
        <w:spacing w:after="240"/>
        <w:rPr>
          <w:lang w:eastAsia="en-AU" w:bidi="ar-SA"/>
        </w:rPr>
      </w:pPr>
      <w:r>
        <w:rPr>
          <w:lang w:eastAsia="en-AU" w:bidi="ar-SA"/>
        </w:rPr>
        <w:t>Due to the transformation method, no antibiotic resistance genes were introduced into</w:t>
      </w:r>
      <w:r w:rsidR="000D1EB0">
        <w:rPr>
          <w:lang w:eastAsia="en-AU" w:bidi="ar-SA"/>
        </w:rPr>
        <w:t xml:space="preserve"> the</w:t>
      </w:r>
      <w:r>
        <w:rPr>
          <w:lang w:eastAsia="en-AU" w:bidi="ar-SA"/>
        </w:rPr>
        <w:t xml:space="preserve"> </w:t>
      </w:r>
      <w:r w:rsidR="00FB7194">
        <w:rPr>
          <w:lang w:eastAsia="en-AU" w:bidi="ar-SA"/>
        </w:rPr>
        <w:t>AR-183 production strain</w:t>
      </w:r>
      <w:r>
        <w:rPr>
          <w:lang w:eastAsia="en-AU" w:bidi="ar-SA"/>
        </w:rPr>
        <w:t>.</w:t>
      </w:r>
    </w:p>
    <w:p w14:paraId="3C6DD468" w14:textId="5CE3B257" w:rsidR="00DA4BD8" w:rsidRPr="00683DE1" w:rsidRDefault="00DA4BD8" w:rsidP="00DA4BD8">
      <w:pPr>
        <w:spacing w:after="240"/>
        <w:rPr>
          <w:lang w:eastAsia="en-AU" w:bidi="ar-SA"/>
        </w:rPr>
      </w:pPr>
      <w:r>
        <w:rPr>
          <w:lang w:eastAsia="en-AU" w:bidi="ar-SA"/>
        </w:rPr>
        <w:t xml:space="preserve">No </w:t>
      </w:r>
      <w:r w:rsidRPr="00DA4BD8">
        <w:rPr>
          <w:lang w:eastAsia="en-AU" w:bidi="ar-SA"/>
        </w:rPr>
        <w:t>recombinant DNA</w:t>
      </w:r>
      <w:r>
        <w:rPr>
          <w:lang w:eastAsia="en-AU" w:bidi="ar-SA"/>
        </w:rPr>
        <w:t xml:space="preserve"> </w:t>
      </w:r>
      <w:r w:rsidRPr="00DA4BD8">
        <w:rPr>
          <w:lang w:eastAsia="en-AU" w:bidi="ar-SA"/>
        </w:rPr>
        <w:t>was detected i</w:t>
      </w:r>
      <w:r>
        <w:rPr>
          <w:lang w:eastAsia="en-AU" w:bidi="ar-SA"/>
        </w:rPr>
        <w:t>n the liquid enzyme concentrate.</w:t>
      </w:r>
    </w:p>
    <w:p w14:paraId="33108D6E" w14:textId="3D186BE5" w:rsidR="0008655E" w:rsidRDefault="0008655E" w:rsidP="00FC50C3">
      <w:pPr>
        <w:pStyle w:val="Heading3"/>
      </w:pPr>
      <w:bookmarkStart w:id="150" w:name="_Toc85204773"/>
      <w:bookmarkStart w:id="151" w:name="_Toc85211335"/>
      <w:bookmarkStart w:id="152" w:name="_Toc87259310"/>
      <w:bookmarkStart w:id="153" w:name="_Toc99464562"/>
      <w:bookmarkStart w:id="154" w:name="_Toc99458059"/>
      <w:bookmarkStart w:id="155" w:name="_Toc103671984"/>
      <w:r>
        <w:t>3.2.3</w:t>
      </w:r>
      <w:r>
        <w:tab/>
        <w:t>Genetic stability of the inserted gene</w:t>
      </w:r>
      <w:bookmarkEnd w:id="150"/>
      <w:bookmarkEnd w:id="151"/>
      <w:bookmarkEnd w:id="152"/>
      <w:bookmarkEnd w:id="153"/>
      <w:bookmarkEnd w:id="154"/>
      <w:bookmarkEnd w:id="155"/>
    </w:p>
    <w:p w14:paraId="4DAE1FEA" w14:textId="35F07009" w:rsidR="00B02D4E" w:rsidRPr="00490C65" w:rsidRDefault="0093703C" w:rsidP="00490C65">
      <w:pPr>
        <w:spacing w:after="240"/>
        <w:rPr>
          <w:szCs w:val="22"/>
        </w:rPr>
      </w:pPr>
      <w:r>
        <w:rPr>
          <w:szCs w:val="22"/>
        </w:rPr>
        <w:t>The assessment confirmed the</w:t>
      </w:r>
      <w:r w:rsidR="00B02D4E">
        <w:rPr>
          <w:szCs w:val="22"/>
        </w:rPr>
        <w:t xml:space="preserve"> inserted DNA is integrated into the production organism’s genome and</w:t>
      </w:r>
      <w:r w:rsidR="00B02D4E" w:rsidRPr="009E5C2B">
        <w:rPr>
          <w:szCs w:val="22"/>
        </w:rPr>
        <w:t xml:space="preserve"> </w:t>
      </w:r>
      <w:r w:rsidR="00B02D4E">
        <w:rPr>
          <w:szCs w:val="22"/>
        </w:rPr>
        <w:t>does not have the ability to replicate autonomously</w:t>
      </w:r>
      <w:r>
        <w:rPr>
          <w:szCs w:val="22"/>
        </w:rPr>
        <w:t>. The inserted gene is therefore considered to</w:t>
      </w:r>
      <w:r w:rsidR="00B02D4E">
        <w:rPr>
          <w:szCs w:val="22"/>
        </w:rPr>
        <w:t xml:space="preserve"> be </w:t>
      </w:r>
      <w:r w:rsidR="00864ECA">
        <w:rPr>
          <w:szCs w:val="22"/>
        </w:rPr>
        <w:t xml:space="preserve">genetically </w:t>
      </w:r>
      <w:r w:rsidR="008F5D91">
        <w:rPr>
          <w:szCs w:val="22"/>
        </w:rPr>
        <w:t>stable.</w:t>
      </w:r>
    </w:p>
    <w:p w14:paraId="0EACDE5E" w14:textId="455C96E2" w:rsidR="00C07707" w:rsidRDefault="003F7C0F" w:rsidP="00C07707">
      <w:pPr>
        <w:spacing w:after="240"/>
        <w:rPr>
          <w:rFonts w:cs="Arial"/>
          <w:szCs w:val="22"/>
        </w:rPr>
      </w:pPr>
      <w:r>
        <w:rPr>
          <w:lang w:eastAsia="en-AU" w:bidi="ar-SA"/>
        </w:rPr>
        <w:t xml:space="preserve">To provide </w:t>
      </w:r>
      <w:r w:rsidR="0093703C">
        <w:rPr>
          <w:lang w:eastAsia="en-AU" w:bidi="ar-SA"/>
        </w:rPr>
        <w:t xml:space="preserve">further </w:t>
      </w:r>
      <w:r>
        <w:rPr>
          <w:lang w:eastAsia="en-AU" w:bidi="ar-SA"/>
        </w:rPr>
        <w:t xml:space="preserve">evidence of </w:t>
      </w:r>
      <w:r w:rsidR="0093703C">
        <w:rPr>
          <w:lang w:eastAsia="en-AU" w:bidi="ar-SA"/>
        </w:rPr>
        <w:t xml:space="preserve">the stability of the introduced </w:t>
      </w:r>
      <w:r>
        <w:rPr>
          <w:szCs w:val="22"/>
        </w:rPr>
        <w:t xml:space="preserve">polygalacturonase </w:t>
      </w:r>
      <w:r w:rsidRPr="0008655E">
        <w:t>gene</w:t>
      </w:r>
      <w:r w:rsidR="00C614CB">
        <w:t xml:space="preserve"> </w:t>
      </w:r>
      <w:r>
        <w:t>the applicant provided phenotypic data</w:t>
      </w:r>
      <w:r w:rsidR="0093703C">
        <w:t xml:space="preserve"> demonstrating </w:t>
      </w:r>
      <w:r>
        <w:rPr>
          <w:rFonts w:cs="Arial"/>
          <w:szCs w:val="22"/>
        </w:rPr>
        <w:t>that</w:t>
      </w:r>
      <w:r w:rsidR="0000786E">
        <w:rPr>
          <w:rFonts w:cs="Arial"/>
          <w:szCs w:val="22"/>
        </w:rPr>
        <w:t xml:space="preserve"> the </w:t>
      </w:r>
      <w:r>
        <w:rPr>
          <w:rFonts w:cs="Arial"/>
          <w:szCs w:val="22"/>
        </w:rPr>
        <w:t>enzyme</w:t>
      </w:r>
      <w:r w:rsidR="0000786E">
        <w:rPr>
          <w:rFonts w:cs="Arial"/>
          <w:szCs w:val="22"/>
        </w:rPr>
        <w:t xml:space="preserve"> is expressed </w:t>
      </w:r>
      <w:r>
        <w:rPr>
          <w:rFonts w:cs="Arial"/>
          <w:szCs w:val="22"/>
        </w:rPr>
        <w:t>over successive generations</w:t>
      </w:r>
      <w:r w:rsidR="00BB6F87">
        <w:rPr>
          <w:rFonts w:cs="Arial"/>
          <w:szCs w:val="22"/>
        </w:rPr>
        <w:t>.</w:t>
      </w:r>
    </w:p>
    <w:p w14:paraId="76E93599" w14:textId="614CE2F0" w:rsidR="006F54EF" w:rsidRDefault="003F7C0F" w:rsidP="00C07707">
      <w:pPr>
        <w:spacing w:after="240"/>
      </w:pPr>
      <w:r>
        <w:t xml:space="preserve">The applicant examined the </w:t>
      </w:r>
      <w:r w:rsidR="000D155B">
        <w:t>activity</w:t>
      </w:r>
      <w:r w:rsidR="00F416A1">
        <w:t xml:space="preserve"> level</w:t>
      </w:r>
      <w:r w:rsidR="000D155B">
        <w:t xml:space="preserve"> of </w:t>
      </w:r>
      <w:r w:rsidR="00F416A1">
        <w:t xml:space="preserve">the </w:t>
      </w:r>
      <w:r w:rsidR="000D155B">
        <w:t xml:space="preserve">polygalacturonase </w:t>
      </w:r>
      <w:r w:rsidR="00F416A1">
        <w:t xml:space="preserve">enzyme </w:t>
      </w:r>
      <w:r w:rsidR="000D155B">
        <w:t xml:space="preserve">in a number of fermentation batches. </w:t>
      </w:r>
      <w:r w:rsidR="0093703C">
        <w:t>These data confirmed</w:t>
      </w:r>
      <w:r w:rsidR="00122918">
        <w:t xml:space="preserve"> that the</w:t>
      </w:r>
      <w:r w:rsidR="00F416A1">
        <w:t xml:space="preserve"> polygalacturonase gene </w:t>
      </w:r>
      <w:r w:rsidR="002D4D82">
        <w:t xml:space="preserve">is </w:t>
      </w:r>
      <w:r>
        <w:t xml:space="preserve">expressed </w:t>
      </w:r>
      <w:r w:rsidR="00BB6F87">
        <w:t xml:space="preserve">over multiple generations </w:t>
      </w:r>
      <w:r>
        <w:t xml:space="preserve">and </w:t>
      </w:r>
      <w:r w:rsidR="00F416A1">
        <w:t>is</w:t>
      </w:r>
      <w:r>
        <w:t xml:space="preserve"> </w:t>
      </w:r>
      <w:r w:rsidR="00F416A1">
        <w:t>stable.</w:t>
      </w:r>
    </w:p>
    <w:p w14:paraId="26A60EAF" w14:textId="17CF9BD7" w:rsidR="00B9667C" w:rsidRPr="008D5EB8" w:rsidRDefault="00B9667C" w:rsidP="008D5EB8">
      <w:pPr>
        <w:pStyle w:val="Heading2"/>
      </w:pPr>
      <w:bookmarkStart w:id="156" w:name="_Toc99464563"/>
      <w:bookmarkStart w:id="157" w:name="_Toc99458060"/>
      <w:bookmarkStart w:id="158" w:name="_Toc103671985"/>
      <w:r w:rsidRPr="00F46E4C">
        <w:t>3.</w:t>
      </w:r>
      <w:r>
        <w:t>3</w:t>
      </w:r>
      <w:r w:rsidRPr="00F46E4C">
        <w:tab/>
      </w:r>
      <w:r>
        <w:t xml:space="preserve">Safety of the </w:t>
      </w:r>
      <w:r w:rsidR="00F319B7">
        <w:t xml:space="preserve">polygalacturonase </w:t>
      </w:r>
      <w:r>
        <w:t>enzyme</w:t>
      </w:r>
      <w:bookmarkEnd w:id="156"/>
      <w:bookmarkEnd w:id="157"/>
      <w:bookmarkEnd w:id="158"/>
    </w:p>
    <w:p w14:paraId="7AD71C4A" w14:textId="13BE9C97" w:rsidR="00F319B7" w:rsidRPr="005273F8" w:rsidRDefault="00F319B7" w:rsidP="005273F8">
      <w:pPr>
        <w:pStyle w:val="Heading3"/>
      </w:pPr>
      <w:bookmarkStart w:id="159" w:name="_Toc97036635"/>
      <w:bookmarkStart w:id="160" w:name="_Toc99464564"/>
      <w:bookmarkStart w:id="161" w:name="_Toc99458061"/>
      <w:bookmarkStart w:id="162" w:name="_Toc103671986"/>
      <w:r w:rsidRPr="005273F8">
        <w:t>3.3.1</w:t>
      </w:r>
      <w:r w:rsidRPr="005273F8">
        <w:tab/>
        <w:t xml:space="preserve">History of safe use </w:t>
      </w:r>
      <w:bookmarkEnd w:id="159"/>
      <w:r w:rsidRPr="005273F8">
        <w:t>of polygalacturonase</w:t>
      </w:r>
      <w:bookmarkEnd w:id="160"/>
      <w:bookmarkEnd w:id="161"/>
      <w:bookmarkEnd w:id="162"/>
    </w:p>
    <w:p w14:paraId="128A1B3C" w14:textId="3E490A7B" w:rsidR="00F319B7" w:rsidRPr="00F319B7" w:rsidRDefault="00F319B7" w:rsidP="00F319B7">
      <w:pPr>
        <w:rPr>
          <w:lang w:eastAsia="en-AU" w:bidi="ar-SA"/>
        </w:rPr>
      </w:pPr>
      <w:r>
        <w:rPr>
          <w:lang w:eastAsia="en-AU" w:bidi="ar-SA"/>
        </w:rPr>
        <w:t>The enzyme has been approved for use in Denmark and France, and confidential information was provided by the applicant to show that substantial quantities are sold commercially.</w:t>
      </w:r>
      <w:r w:rsidR="00291478">
        <w:rPr>
          <w:lang w:eastAsia="en-AU" w:bidi="ar-SA"/>
        </w:rPr>
        <w:t xml:space="preserve"> FSANZ notes that the enzyme is also sold commercially in countries where there is a general approval of enzymes for food manufacture.</w:t>
      </w:r>
    </w:p>
    <w:p w14:paraId="294D7CE3" w14:textId="49B42142" w:rsidR="00F319B7" w:rsidRPr="00A63543" w:rsidRDefault="00F319B7" w:rsidP="00A63543">
      <w:pPr>
        <w:pStyle w:val="Heading3"/>
      </w:pPr>
      <w:bookmarkStart w:id="163" w:name="_Toc97036636"/>
      <w:bookmarkStart w:id="164" w:name="_Toc99464565"/>
      <w:bookmarkStart w:id="165" w:name="_Toc99458062"/>
      <w:bookmarkStart w:id="166" w:name="_Toc103671987"/>
      <w:r w:rsidRPr="00A63543">
        <w:t>3.3.2</w:t>
      </w:r>
      <w:r w:rsidRPr="00A63543">
        <w:tab/>
        <w:t>Bioinformatics concerning potential for toxicity</w:t>
      </w:r>
      <w:bookmarkEnd w:id="163"/>
      <w:bookmarkEnd w:id="164"/>
      <w:bookmarkEnd w:id="165"/>
      <w:bookmarkEnd w:id="166"/>
    </w:p>
    <w:p w14:paraId="7C79C769" w14:textId="51DB1C64" w:rsidR="00921D89" w:rsidRDefault="00291478" w:rsidP="00921D89">
      <w:pPr>
        <w:rPr>
          <w:lang w:eastAsia="en-AU" w:bidi="ar-SA"/>
        </w:rPr>
      </w:pPr>
      <w:r w:rsidRPr="00291478">
        <w:rPr>
          <w:lang w:eastAsia="en-AU" w:bidi="ar-SA"/>
        </w:rPr>
        <w:t xml:space="preserve">A </w:t>
      </w:r>
      <w:r w:rsidR="00E1676C">
        <w:rPr>
          <w:lang w:eastAsia="en-AU" w:bidi="ar-SA"/>
        </w:rPr>
        <w:t xml:space="preserve">recent </w:t>
      </w:r>
      <w:r w:rsidR="00E1676C" w:rsidRPr="0075123D">
        <w:rPr>
          <w:lang w:eastAsia="en-AU" w:bidi="ar-SA"/>
        </w:rPr>
        <w:t>(August 2020)</w:t>
      </w:r>
      <w:r w:rsidR="00E1676C">
        <w:rPr>
          <w:lang w:eastAsia="en-AU" w:bidi="ar-SA"/>
        </w:rPr>
        <w:t xml:space="preserve"> </w:t>
      </w:r>
      <w:r w:rsidRPr="00291478">
        <w:rPr>
          <w:lang w:eastAsia="en-AU" w:bidi="ar-SA"/>
        </w:rPr>
        <w:t>homology search</w:t>
      </w:r>
      <w:r w:rsidR="006842E6">
        <w:rPr>
          <w:lang w:eastAsia="en-AU" w:bidi="ar-SA"/>
        </w:rPr>
        <w:t xml:space="preserve">, using </w:t>
      </w:r>
      <w:r>
        <w:rPr>
          <w:lang w:eastAsia="en-AU" w:bidi="ar-SA"/>
        </w:rPr>
        <w:t xml:space="preserve">the amino acid sequence of the polygalacturonase as the query sequence, </w:t>
      </w:r>
      <w:r w:rsidRPr="00291478">
        <w:rPr>
          <w:lang w:eastAsia="en-AU" w:bidi="ar-SA"/>
        </w:rPr>
        <w:t xml:space="preserve">was performed </w:t>
      </w:r>
      <w:r w:rsidR="00BB54DA">
        <w:rPr>
          <w:lang w:eastAsia="en-AU" w:bidi="ar-SA"/>
        </w:rPr>
        <w:t>on proteins marked as toxins in</w:t>
      </w:r>
      <w:r w:rsidRPr="00291478">
        <w:rPr>
          <w:lang w:eastAsia="en-AU" w:bidi="ar-SA"/>
        </w:rPr>
        <w:t xml:space="preserve"> the NCBI Identical Prote</w:t>
      </w:r>
      <w:r>
        <w:rPr>
          <w:lang w:eastAsia="en-AU" w:bidi="ar-SA"/>
        </w:rPr>
        <w:t>in Groups (IPG) database using</w:t>
      </w:r>
      <w:r w:rsidRPr="00291478">
        <w:rPr>
          <w:lang w:eastAsia="en-AU" w:bidi="ar-SA"/>
        </w:rPr>
        <w:t xml:space="preserve"> BLAST-P</w:t>
      </w:r>
      <w:r>
        <w:rPr>
          <w:lang w:eastAsia="en-AU" w:bidi="ar-SA"/>
        </w:rPr>
        <w:t>, which is a basic local alignment search tool.</w:t>
      </w:r>
      <w:r w:rsidR="00E1676C" w:rsidRPr="00E1676C">
        <w:t xml:space="preserve"> </w:t>
      </w:r>
      <w:r w:rsidR="00E1676C">
        <w:rPr>
          <w:lang w:eastAsia="en-AU" w:bidi="ar-SA"/>
        </w:rPr>
        <w:t>Search results were provided to FSANZ to show that t</w:t>
      </w:r>
      <w:r w:rsidRPr="00291478">
        <w:rPr>
          <w:lang w:eastAsia="en-AU" w:bidi="ar-SA"/>
        </w:rPr>
        <w:t xml:space="preserve">he polygalacturonase </w:t>
      </w:r>
      <w:r>
        <w:rPr>
          <w:lang w:eastAsia="en-AU" w:bidi="ar-SA"/>
        </w:rPr>
        <w:t>enzyme</w:t>
      </w:r>
      <w:r w:rsidRPr="00291478">
        <w:rPr>
          <w:lang w:eastAsia="en-AU" w:bidi="ar-SA"/>
        </w:rPr>
        <w:t xml:space="preserve"> does not show significant homology to any protein sequence identified </w:t>
      </w:r>
      <w:r>
        <w:rPr>
          <w:lang w:eastAsia="en-AU" w:bidi="ar-SA"/>
        </w:rPr>
        <w:t>as</w:t>
      </w:r>
      <w:r w:rsidRPr="00291478">
        <w:rPr>
          <w:lang w:eastAsia="en-AU" w:bidi="ar-SA"/>
        </w:rPr>
        <w:t xml:space="preserve"> a toxin.</w:t>
      </w:r>
    </w:p>
    <w:p w14:paraId="12FD4BF9" w14:textId="77777777" w:rsidR="00F319B7" w:rsidRPr="00A63543" w:rsidRDefault="00F319B7" w:rsidP="00A63543">
      <w:pPr>
        <w:pStyle w:val="Heading3"/>
      </w:pPr>
      <w:bookmarkStart w:id="167" w:name="_Toc97036637"/>
      <w:bookmarkStart w:id="168" w:name="_Toc99464566"/>
      <w:bookmarkStart w:id="169" w:name="_Toc99458063"/>
      <w:bookmarkStart w:id="170" w:name="_Toc103671988"/>
      <w:r w:rsidRPr="00A63543">
        <w:lastRenderedPageBreak/>
        <w:t>3.3.3</w:t>
      </w:r>
      <w:r w:rsidRPr="00A63543">
        <w:tab/>
        <w:t>Toxicology data</w:t>
      </w:r>
      <w:bookmarkEnd w:id="167"/>
      <w:bookmarkEnd w:id="168"/>
      <w:bookmarkEnd w:id="169"/>
      <w:bookmarkEnd w:id="170"/>
    </w:p>
    <w:p w14:paraId="16DB1E23" w14:textId="4DDCDEEB" w:rsidR="005E4B35" w:rsidRDefault="005E4B35" w:rsidP="005E4B35">
      <w:pPr>
        <w:rPr>
          <w:lang w:eastAsia="en-AU" w:bidi="ar-SA"/>
        </w:rPr>
      </w:pPr>
      <w:r>
        <w:rPr>
          <w:lang w:eastAsia="en-AU" w:bidi="ar-SA"/>
        </w:rPr>
        <w:t xml:space="preserve">Toxicology studies conducted with the polygalacturonase that is the subject of this application include a 13-week repeat-dose oral gavage study in rats, and two genotoxicity studies; a bacterial reverse mutation assay (Ames test) and an </w:t>
      </w:r>
      <w:r w:rsidRPr="000D09F5">
        <w:rPr>
          <w:i/>
          <w:lang w:eastAsia="en-AU" w:bidi="ar-SA"/>
        </w:rPr>
        <w:t>in vitro</w:t>
      </w:r>
      <w:r>
        <w:rPr>
          <w:lang w:eastAsia="en-AU" w:bidi="ar-SA"/>
        </w:rPr>
        <w:t xml:space="preserve"> micronucleus assay.</w:t>
      </w:r>
    </w:p>
    <w:p w14:paraId="5971055B" w14:textId="01EDCEA4" w:rsidR="00F319B7" w:rsidRDefault="00F319B7" w:rsidP="00F319B7">
      <w:pPr>
        <w:keepNext/>
        <w:spacing w:before="240" w:after="240"/>
        <w:ind w:left="851" w:hanging="851"/>
        <w:outlineLvl w:val="3"/>
        <w:rPr>
          <w:b/>
          <w:bCs/>
          <w:i/>
          <w:iCs/>
          <w:szCs w:val="22"/>
          <w:lang w:eastAsia="en-AU" w:bidi="ar-SA"/>
        </w:rPr>
      </w:pPr>
      <w:r w:rsidRPr="00F319B7">
        <w:rPr>
          <w:b/>
          <w:bCs/>
          <w:i/>
          <w:iCs/>
          <w:szCs w:val="22"/>
          <w:lang w:eastAsia="en-AU" w:bidi="ar-SA"/>
        </w:rPr>
        <w:t>3.3.3.1 Short term study in animals</w:t>
      </w:r>
    </w:p>
    <w:p w14:paraId="2F6D3B92" w14:textId="77777777" w:rsidR="0092306E" w:rsidRDefault="005E4B35" w:rsidP="004A4290">
      <w:pPr>
        <w:ind w:left="142"/>
        <w:rPr>
          <w:i/>
          <w:lang w:eastAsia="en-AU" w:bidi="ar-SA"/>
        </w:rPr>
      </w:pPr>
      <w:r w:rsidRPr="005E4B35">
        <w:rPr>
          <w:i/>
          <w:lang w:eastAsia="en-AU" w:bidi="ar-SA"/>
        </w:rPr>
        <w:t>Thirteen-week repeat-dose oral gavage study of polygalacturonase in Wistar rats (</w:t>
      </w:r>
      <w:r w:rsidR="00821184" w:rsidRPr="000E7920">
        <w:rPr>
          <w:i/>
          <w:lang w:eastAsia="en-AU" w:bidi="ar-SA"/>
        </w:rPr>
        <w:t>Schmid</w:t>
      </w:r>
      <w:r w:rsidRPr="000E7920">
        <w:rPr>
          <w:i/>
          <w:lang w:eastAsia="en-AU" w:bidi="ar-SA"/>
        </w:rPr>
        <w:t xml:space="preserve"> et al </w:t>
      </w:r>
      <w:r w:rsidRPr="00AB09C5">
        <w:rPr>
          <w:i/>
          <w:lang w:eastAsia="en-AU" w:bidi="ar-SA"/>
        </w:rPr>
        <w:t>20</w:t>
      </w:r>
      <w:r w:rsidR="00821184" w:rsidRPr="00AB09C5">
        <w:rPr>
          <w:i/>
          <w:lang w:eastAsia="en-AU" w:bidi="ar-SA"/>
        </w:rPr>
        <w:t>20</w:t>
      </w:r>
      <w:r w:rsidRPr="00AB09C5">
        <w:rPr>
          <w:i/>
          <w:lang w:eastAsia="en-AU" w:bidi="ar-SA"/>
        </w:rPr>
        <w:t>;</w:t>
      </w:r>
      <w:r w:rsidRPr="000E7920">
        <w:rPr>
          <w:i/>
          <w:lang w:eastAsia="en-AU" w:bidi="ar-SA"/>
        </w:rPr>
        <w:t xml:space="preserve"> unpublished study). Regulatory status: GLP</w:t>
      </w:r>
      <w:r w:rsidRPr="00AB09C5">
        <w:rPr>
          <w:i/>
          <w:lang w:eastAsia="en-AU" w:bidi="ar-SA"/>
        </w:rPr>
        <w:t>; in compliance with OECD test guideline 408</w:t>
      </w:r>
    </w:p>
    <w:p w14:paraId="7E68A960" w14:textId="54753489" w:rsidR="00AB09C5" w:rsidRDefault="00AB09C5" w:rsidP="005E4B35">
      <w:pPr>
        <w:rPr>
          <w:i/>
          <w:lang w:eastAsia="en-AU" w:bidi="ar-SA"/>
        </w:rPr>
      </w:pPr>
    </w:p>
    <w:p w14:paraId="15EF4EED" w14:textId="5763AFE5" w:rsidR="00AB09C5" w:rsidRPr="000E7920" w:rsidRDefault="00AB09C5" w:rsidP="005E4B35">
      <w:pPr>
        <w:rPr>
          <w:lang w:eastAsia="en-AU" w:bidi="ar-SA"/>
        </w:rPr>
      </w:pPr>
      <w:r>
        <w:rPr>
          <w:lang w:eastAsia="en-AU" w:bidi="ar-SA"/>
        </w:rPr>
        <w:t xml:space="preserve">The control article and vehicle for this study was sterile water for </w:t>
      </w:r>
      <w:r w:rsidRPr="000E7920">
        <w:rPr>
          <w:lang w:eastAsia="en-AU" w:bidi="ar-SA"/>
        </w:rPr>
        <w:t xml:space="preserve">injection. Stability and homogeneity of the test article in this vehicle were verified. Rats, 10/sex/group, were group housed under standard laboratory conditions of environment and husbandry. </w:t>
      </w:r>
      <w:r>
        <w:rPr>
          <w:lang w:eastAsia="en-AU" w:bidi="ar-SA"/>
        </w:rPr>
        <w:t xml:space="preserve">They were gavaged </w:t>
      </w:r>
      <w:r w:rsidR="00293A62">
        <w:rPr>
          <w:lang w:eastAsia="en-AU" w:bidi="ar-SA"/>
        </w:rPr>
        <w:t>daily, for 90 days, with 0, 100, 300 or 1000 mg</w:t>
      </w:r>
      <w:r w:rsidR="00D63E29">
        <w:rPr>
          <w:lang w:eastAsia="en-AU" w:bidi="ar-SA"/>
        </w:rPr>
        <w:t xml:space="preserve"> TOS</w:t>
      </w:r>
      <w:r w:rsidR="006B1654">
        <w:rPr>
          <w:rStyle w:val="FootnoteReference"/>
          <w:lang w:eastAsia="en-AU" w:bidi="ar-SA"/>
        </w:rPr>
        <w:footnoteReference w:id="8"/>
      </w:r>
      <w:r w:rsidR="00293A62">
        <w:rPr>
          <w:lang w:eastAsia="en-AU" w:bidi="ar-SA"/>
        </w:rPr>
        <w:t xml:space="preserve">/kg bw/day. Parameters measured included survival, clinical observations, </w:t>
      </w:r>
      <w:r w:rsidR="0024255E">
        <w:rPr>
          <w:lang w:eastAsia="en-AU" w:bidi="ar-SA"/>
        </w:rPr>
        <w:t xml:space="preserve">bodyweight changes, food consumption, </w:t>
      </w:r>
      <w:r w:rsidR="00E7664F">
        <w:rPr>
          <w:lang w:eastAsia="en-AU" w:bidi="ar-SA"/>
        </w:rPr>
        <w:t xml:space="preserve">performance on a functional observational battery, </w:t>
      </w:r>
      <w:r w:rsidR="0024255E">
        <w:rPr>
          <w:lang w:eastAsia="en-AU" w:bidi="ar-SA"/>
        </w:rPr>
        <w:t xml:space="preserve">clinical pathology parameters (endocrine, haematology, coagulation, clinical chemistry, urinalysis), gross necropsy findings, weights of selected organs, and </w:t>
      </w:r>
      <w:r w:rsidR="0024255E" w:rsidRPr="000E7920">
        <w:rPr>
          <w:lang w:eastAsia="en-AU" w:bidi="ar-SA"/>
        </w:rPr>
        <w:t>histopathology of a comprehensive list of organs and tissues.</w:t>
      </w:r>
    </w:p>
    <w:p w14:paraId="469136FE" w14:textId="7174DC0C" w:rsidR="0024255E" w:rsidRDefault="0024255E" w:rsidP="005E4B35">
      <w:pPr>
        <w:rPr>
          <w:i/>
          <w:lang w:eastAsia="en-AU" w:bidi="ar-SA"/>
        </w:rPr>
      </w:pPr>
    </w:p>
    <w:p w14:paraId="2B2AB32B" w14:textId="0BF99765" w:rsidR="0024255E" w:rsidRDefault="0024255E" w:rsidP="005E4B35">
      <w:pPr>
        <w:rPr>
          <w:lang w:eastAsia="en-AU" w:bidi="ar-SA"/>
        </w:rPr>
      </w:pPr>
      <w:r>
        <w:rPr>
          <w:lang w:eastAsia="en-AU" w:bidi="ar-SA"/>
        </w:rPr>
        <w:t>All rats survived to the end of the in-life phase. There were no t</w:t>
      </w:r>
      <w:r w:rsidR="00904414">
        <w:rPr>
          <w:lang w:eastAsia="en-AU" w:bidi="ar-SA"/>
        </w:rPr>
        <w:t>est article</w:t>
      </w:r>
      <w:r>
        <w:rPr>
          <w:lang w:eastAsia="en-AU" w:bidi="ar-SA"/>
        </w:rPr>
        <w:t>-related effects on any parameters measured</w:t>
      </w:r>
      <w:r w:rsidR="00904414">
        <w:rPr>
          <w:lang w:eastAsia="en-AU" w:bidi="ar-SA"/>
        </w:rPr>
        <w:t>.</w:t>
      </w:r>
      <w:r>
        <w:rPr>
          <w:lang w:eastAsia="en-AU" w:bidi="ar-SA"/>
        </w:rPr>
        <w:t xml:space="preserve"> Salivation in one 1000 mg</w:t>
      </w:r>
      <w:r w:rsidR="00B81FED">
        <w:rPr>
          <w:lang w:eastAsia="en-AU" w:bidi="ar-SA"/>
        </w:rPr>
        <w:t xml:space="preserve"> TOS</w:t>
      </w:r>
      <w:r>
        <w:rPr>
          <w:lang w:eastAsia="en-AU" w:bidi="ar-SA"/>
        </w:rPr>
        <w:t>/kg bw/day male and one 1000 mg</w:t>
      </w:r>
      <w:r w:rsidR="00B81FED">
        <w:rPr>
          <w:lang w:eastAsia="en-AU" w:bidi="ar-SA"/>
        </w:rPr>
        <w:t xml:space="preserve"> TOS</w:t>
      </w:r>
      <w:r>
        <w:rPr>
          <w:lang w:eastAsia="en-AU" w:bidi="ar-SA"/>
        </w:rPr>
        <w:t>/kg bw/day female immediately after dose administration on several days, was interpreted as a response to the discomfort of the gavage procedure and not related to the test article itself. There were no other treatment-related clinical observations.</w:t>
      </w:r>
    </w:p>
    <w:p w14:paraId="59A4E4DA" w14:textId="78D6BEE6" w:rsidR="0024255E" w:rsidRDefault="0024255E" w:rsidP="005E4B35">
      <w:pPr>
        <w:rPr>
          <w:lang w:eastAsia="en-AU" w:bidi="ar-SA"/>
        </w:rPr>
      </w:pPr>
    </w:p>
    <w:p w14:paraId="6166821A" w14:textId="3CC45EBD" w:rsidR="0024255E" w:rsidRPr="00AB09C5" w:rsidRDefault="0024255E" w:rsidP="005E4B35">
      <w:pPr>
        <w:rPr>
          <w:i/>
          <w:lang w:eastAsia="en-AU" w:bidi="ar-SA"/>
        </w:rPr>
      </w:pPr>
      <w:r>
        <w:rPr>
          <w:lang w:eastAsia="en-AU" w:bidi="ar-SA"/>
        </w:rPr>
        <w:t xml:space="preserve">It was </w:t>
      </w:r>
      <w:r w:rsidR="006842E6">
        <w:rPr>
          <w:lang w:eastAsia="en-AU" w:bidi="ar-SA"/>
        </w:rPr>
        <w:t xml:space="preserve">concluded that the No Observed </w:t>
      </w:r>
      <w:r>
        <w:rPr>
          <w:lang w:eastAsia="en-AU" w:bidi="ar-SA"/>
        </w:rPr>
        <w:t xml:space="preserve">Adverse Effect Level (NOAEL) of polygalacturonase synthesized by GM </w:t>
      </w:r>
      <w:r w:rsidR="008B6655" w:rsidRPr="0024255E">
        <w:rPr>
          <w:i/>
          <w:lang w:eastAsia="en-AU" w:bidi="ar-SA"/>
        </w:rPr>
        <w:t>A</w:t>
      </w:r>
      <w:r w:rsidR="008B6655">
        <w:rPr>
          <w:i/>
          <w:lang w:eastAsia="en-AU" w:bidi="ar-SA"/>
        </w:rPr>
        <w:t>.</w:t>
      </w:r>
      <w:r w:rsidR="008B6655" w:rsidRPr="0024255E">
        <w:rPr>
          <w:i/>
          <w:lang w:eastAsia="en-AU" w:bidi="ar-SA"/>
        </w:rPr>
        <w:t xml:space="preserve"> </w:t>
      </w:r>
      <w:r w:rsidRPr="0024255E">
        <w:rPr>
          <w:i/>
          <w:lang w:eastAsia="en-AU" w:bidi="ar-SA"/>
        </w:rPr>
        <w:t>oryzae</w:t>
      </w:r>
      <w:r>
        <w:rPr>
          <w:lang w:eastAsia="en-AU" w:bidi="ar-SA"/>
        </w:rPr>
        <w:t xml:space="preserve"> is 1000 mg</w:t>
      </w:r>
      <w:r w:rsidR="00D63E29">
        <w:rPr>
          <w:lang w:eastAsia="en-AU" w:bidi="ar-SA"/>
        </w:rPr>
        <w:t xml:space="preserve"> TOS</w:t>
      </w:r>
      <w:r>
        <w:rPr>
          <w:lang w:eastAsia="en-AU" w:bidi="ar-SA"/>
        </w:rPr>
        <w:t xml:space="preserve">/kg bw/day, the highest dose tested. </w:t>
      </w:r>
    </w:p>
    <w:p w14:paraId="082C881A" w14:textId="3F094546" w:rsidR="00F319B7" w:rsidRDefault="00F319B7" w:rsidP="00F319B7">
      <w:pPr>
        <w:keepNext/>
        <w:spacing w:before="240" w:after="240"/>
        <w:ind w:left="851" w:hanging="851"/>
        <w:outlineLvl w:val="3"/>
        <w:rPr>
          <w:b/>
          <w:bCs/>
          <w:i/>
          <w:iCs/>
          <w:szCs w:val="22"/>
          <w:lang w:eastAsia="en-AU" w:bidi="ar-SA"/>
        </w:rPr>
      </w:pPr>
      <w:r w:rsidRPr="00F319B7">
        <w:rPr>
          <w:b/>
          <w:bCs/>
          <w:i/>
          <w:iCs/>
          <w:szCs w:val="22"/>
          <w:lang w:eastAsia="en-AU" w:bidi="ar-SA"/>
        </w:rPr>
        <w:t>3.3.3.2 Genotoxicity studies</w:t>
      </w:r>
    </w:p>
    <w:p w14:paraId="54AC3872" w14:textId="7F6B1B17" w:rsidR="005E4B35" w:rsidRPr="000E7920" w:rsidRDefault="005E4B35" w:rsidP="003C03C2">
      <w:pPr>
        <w:pStyle w:val="Default"/>
        <w:ind w:left="142"/>
        <w:rPr>
          <w:i/>
          <w:color w:val="auto"/>
          <w:sz w:val="22"/>
          <w:szCs w:val="22"/>
          <w:lang w:eastAsia="en-AU"/>
        </w:rPr>
      </w:pPr>
      <w:r w:rsidRPr="000E7920">
        <w:rPr>
          <w:i/>
          <w:color w:val="auto"/>
          <w:sz w:val="22"/>
          <w:szCs w:val="22"/>
          <w:lang w:eastAsia="en-AU"/>
        </w:rPr>
        <w:t>Bacterial reverse mutation assay (</w:t>
      </w:r>
      <w:r w:rsidR="00821184" w:rsidRPr="000E7920">
        <w:rPr>
          <w:i/>
          <w:color w:val="auto"/>
          <w:sz w:val="22"/>
          <w:szCs w:val="22"/>
          <w:lang w:eastAsia="en-AU"/>
        </w:rPr>
        <w:t>Schreib</w:t>
      </w:r>
      <w:r w:rsidRPr="000E7920">
        <w:rPr>
          <w:i/>
          <w:color w:val="auto"/>
          <w:sz w:val="22"/>
          <w:szCs w:val="22"/>
          <w:lang w:eastAsia="en-AU"/>
        </w:rPr>
        <w:t xml:space="preserve"> et al 201</w:t>
      </w:r>
      <w:r w:rsidR="00821184" w:rsidRPr="000E7920">
        <w:rPr>
          <w:i/>
          <w:color w:val="auto"/>
          <w:sz w:val="22"/>
          <w:szCs w:val="22"/>
          <w:lang w:eastAsia="en-AU"/>
        </w:rPr>
        <w:t>9</w:t>
      </w:r>
      <w:r w:rsidRPr="000E7920">
        <w:rPr>
          <w:i/>
          <w:color w:val="auto"/>
          <w:sz w:val="22"/>
          <w:szCs w:val="22"/>
          <w:lang w:eastAsia="en-AU"/>
        </w:rPr>
        <w:t>; unpublished study). Regulatory status: GLP; in compliance with OECD Guideline 471</w:t>
      </w:r>
    </w:p>
    <w:p w14:paraId="4AFB4767" w14:textId="77777777" w:rsidR="00EB05F6" w:rsidRPr="000E7920" w:rsidRDefault="00EB05F6" w:rsidP="005E4B35">
      <w:pPr>
        <w:pStyle w:val="Default"/>
        <w:rPr>
          <w:i/>
          <w:color w:val="auto"/>
          <w:sz w:val="22"/>
          <w:szCs w:val="22"/>
          <w:lang w:eastAsia="en-AU"/>
        </w:rPr>
      </w:pPr>
    </w:p>
    <w:p w14:paraId="4D3B8357" w14:textId="66847B48" w:rsidR="005E4B35" w:rsidRPr="000E7920" w:rsidRDefault="00EB05F6" w:rsidP="005E4B35">
      <w:pPr>
        <w:pStyle w:val="Default"/>
        <w:rPr>
          <w:color w:val="auto"/>
          <w:sz w:val="22"/>
          <w:szCs w:val="22"/>
          <w:lang w:eastAsia="en-AU"/>
        </w:rPr>
      </w:pPr>
      <w:r w:rsidRPr="000E7920">
        <w:rPr>
          <w:color w:val="auto"/>
          <w:sz w:val="22"/>
          <w:szCs w:val="22"/>
          <w:lang w:eastAsia="en-AU"/>
        </w:rPr>
        <w:t xml:space="preserve">The test systems used for this study were </w:t>
      </w:r>
      <w:r w:rsidR="00C74D46" w:rsidRPr="000E7920">
        <w:rPr>
          <w:rFonts w:eastAsia="Calibri"/>
          <w:i/>
          <w:color w:val="auto"/>
          <w:szCs w:val="22"/>
          <w:lang w:eastAsia="fr-FR"/>
        </w:rPr>
        <w:t xml:space="preserve">Salmonella </w:t>
      </w:r>
      <w:r w:rsidR="00C74D46" w:rsidRPr="000E7920">
        <w:rPr>
          <w:i/>
          <w:iCs/>
          <w:color w:val="auto"/>
          <w:lang w:val="en-AU"/>
        </w:rPr>
        <w:t>enterica</w:t>
      </w:r>
      <w:r w:rsidR="00C74D46" w:rsidRPr="000E7920">
        <w:rPr>
          <w:color w:val="auto"/>
          <w:lang w:val="en-AU"/>
        </w:rPr>
        <w:t xml:space="preserve"> ser. Typhimurium</w:t>
      </w:r>
      <w:r w:rsidR="00C74D46" w:rsidRPr="000E7920">
        <w:rPr>
          <w:rFonts w:eastAsia="Calibri"/>
          <w:color w:val="auto"/>
          <w:szCs w:val="22"/>
          <w:lang w:eastAsia="fr-FR"/>
        </w:rPr>
        <w:t xml:space="preserve"> </w:t>
      </w:r>
      <w:r w:rsidRPr="000E7920">
        <w:rPr>
          <w:color w:val="auto"/>
          <w:sz w:val="22"/>
          <w:szCs w:val="22"/>
          <w:lang w:eastAsia="en-AU"/>
        </w:rPr>
        <w:t xml:space="preserve">strains TA98, TA100, TA 1535, TA1537 and TA102. The solvent and negative control article was distilled water. Appropriate positive control articles, as recommended in the OECD guideline, were used. </w:t>
      </w:r>
    </w:p>
    <w:p w14:paraId="3D2DFCEB" w14:textId="34601B40" w:rsidR="00EB05F6" w:rsidRDefault="00EB05F6" w:rsidP="005E4B35">
      <w:pPr>
        <w:pStyle w:val="Default"/>
        <w:rPr>
          <w:color w:val="auto"/>
          <w:sz w:val="22"/>
          <w:szCs w:val="22"/>
          <w:lang w:eastAsia="en-AU"/>
        </w:rPr>
      </w:pPr>
    </w:p>
    <w:p w14:paraId="7CAA7ECC" w14:textId="7CEB746B" w:rsidR="005E4B35" w:rsidRDefault="003B5AE3" w:rsidP="008C6C0B">
      <w:pPr>
        <w:pStyle w:val="Default"/>
        <w:rPr>
          <w:color w:val="auto"/>
          <w:sz w:val="22"/>
          <w:szCs w:val="22"/>
          <w:lang w:eastAsia="en-AU"/>
        </w:rPr>
      </w:pPr>
      <w:r>
        <w:rPr>
          <w:color w:val="auto"/>
          <w:sz w:val="22"/>
          <w:szCs w:val="22"/>
          <w:lang w:eastAsia="en-AU"/>
        </w:rPr>
        <w:t xml:space="preserve">Two experiments were conducted; </w:t>
      </w:r>
      <w:r w:rsidR="005D277B">
        <w:rPr>
          <w:color w:val="auto"/>
          <w:sz w:val="22"/>
          <w:szCs w:val="22"/>
          <w:lang w:eastAsia="en-AU"/>
        </w:rPr>
        <w:t xml:space="preserve">using </w:t>
      </w:r>
      <w:r>
        <w:rPr>
          <w:color w:val="auto"/>
          <w:sz w:val="22"/>
          <w:szCs w:val="22"/>
          <w:lang w:eastAsia="en-AU"/>
        </w:rPr>
        <w:t xml:space="preserve">the plate incorporation </w:t>
      </w:r>
      <w:r w:rsidR="005D277B">
        <w:rPr>
          <w:color w:val="auto"/>
          <w:sz w:val="22"/>
          <w:szCs w:val="22"/>
          <w:lang w:eastAsia="en-AU"/>
        </w:rPr>
        <w:t>method</w:t>
      </w:r>
      <w:r>
        <w:rPr>
          <w:color w:val="auto"/>
          <w:sz w:val="22"/>
          <w:szCs w:val="22"/>
          <w:lang w:eastAsia="en-AU"/>
        </w:rPr>
        <w:t xml:space="preserve"> </w:t>
      </w:r>
      <w:r w:rsidR="005D277B">
        <w:rPr>
          <w:color w:val="auto"/>
          <w:sz w:val="22"/>
          <w:szCs w:val="22"/>
          <w:lang w:eastAsia="en-AU"/>
        </w:rPr>
        <w:t xml:space="preserve">(experiment I) </w:t>
      </w:r>
      <w:r>
        <w:rPr>
          <w:color w:val="auto"/>
          <w:sz w:val="22"/>
          <w:szCs w:val="22"/>
          <w:lang w:eastAsia="en-AU"/>
        </w:rPr>
        <w:t xml:space="preserve">and the pre-incubation </w:t>
      </w:r>
      <w:r w:rsidR="005D277B">
        <w:rPr>
          <w:color w:val="auto"/>
          <w:sz w:val="22"/>
          <w:szCs w:val="22"/>
          <w:lang w:eastAsia="en-AU"/>
        </w:rPr>
        <w:t xml:space="preserve">method (experiment II). All tests were conducted in triplicate, and with or without S9 mix for metabolic activation. Concentrations of test article in both experiments were </w:t>
      </w:r>
      <w:r w:rsidR="008C6C0B" w:rsidRPr="005D277B">
        <w:rPr>
          <w:color w:val="auto"/>
          <w:sz w:val="22"/>
          <w:szCs w:val="22"/>
          <w:lang w:eastAsia="en-AU"/>
        </w:rPr>
        <w:t>31.6, 100, 316, 1000, 2500 and 5000 μg/plate</w:t>
      </w:r>
      <w:r w:rsidR="005D277B">
        <w:rPr>
          <w:color w:val="auto"/>
          <w:sz w:val="22"/>
          <w:szCs w:val="22"/>
          <w:lang w:eastAsia="en-AU"/>
        </w:rPr>
        <w:t>. No precipitation or toxicity was observed at any concentration of the test article.</w:t>
      </w:r>
    </w:p>
    <w:p w14:paraId="722CDFB5" w14:textId="6329F7F3" w:rsidR="00EB05F6" w:rsidRPr="002A220C" w:rsidRDefault="00EB05F6" w:rsidP="005D277B">
      <w:pPr>
        <w:pStyle w:val="Default"/>
        <w:rPr>
          <w:color w:val="auto"/>
          <w:sz w:val="22"/>
          <w:szCs w:val="22"/>
          <w:lang w:eastAsia="en-AU"/>
        </w:rPr>
      </w:pPr>
    </w:p>
    <w:p w14:paraId="2A34357F" w14:textId="7EE51389" w:rsidR="002A220C" w:rsidRPr="002A220C" w:rsidRDefault="00EB05F6" w:rsidP="002A220C">
      <w:pPr>
        <w:pStyle w:val="Default"/>
        <w:rPr>
          <w:color w:val="auto"/>
          <w:sz w:val="22"/>
          <w:szCs w:val="22"/>
          <w:lang w:eastAsia="en-AU"/>
        </w:rPr>
      </w:pPr>
      <w:r w:rsidRPr="002A220C">
        <w:rPr>
          <w:color w:val="auto"/>
          <w:sz w:val="22"/>
          <w:szCs w:val="22"/>
          <w:lang w:eastAsia="en-AU"/>
        </w:rPr>
        <w:t xml:space="preserve">No biologically relevant increases in revertant colony numbers of any of the five tester strains were observed at any concentration level, </w:t>
      </w:r>
      <w:r w:rsidR="002A220C" w:rsidRPr="002A220C">
        <w:rPr>
          <w:color w:val="auto"/>
          <w:sz w:val="22"/>
          <w:szCs w:val="22"/>
          <w:lang w:eastAsia="en-AU"/>
        </w:rPr>
        <w:t>with or without S9 mix,</w:t>
      </w:r>
      <w:r w:rsidRPr="002A220C">
        <w:rPr>
          <w:color w:val="auto"/>
          <w:sz w:val="22"/>
          <w:szCs w:val="22"/>
          <w:lang w:eastAsia="en-AU"/>
        </w:rPr>
        <w:t xml:space="preserve"> in </w:t>
      </w:r>
      <w:r w:rsidR="002A220C" w:rsidRPr="002A220C">
        <w:rPr>
          <w:color w:val="auto"/>
          <w:sz w:val="22"/>
          <w:szCs w:val="22"/>
          <w:lang w:eastAsia="en-AU"/>
        </w:rPr>
        <w:t xml:space="preserve">either </w:t>
      </w:r>
      <w:r w:rsidRPr="002A220C">
        <w:rPr>
          <w:color w:val="auto"/>
          <w:sz w:val="22"/>
          <w:szCs w:val="22"/>
          <w:lang w:eastAsia="en-AU"/>
        </w:rPr>
        <w:t xml:space="preserve">experiment I and </w:t>
      </w:r>
      <w:r w:rsidRPr="000E7920">
        <w:rPr>
          <w:color w:val="auto"/>
          <w:sz w:val="22"/>
          <w:szCs w:val="22"/>
          <w:lang w:eastAsia="en-AU"/>
        </w:rPr>
        <w:t>II.</w:t>
      </w:r>
      <w:r w:rsidR="002A220C" w:rsidRPr="000E7920">
        <w:rPr>
          <w:color w:val="auto"/>
          <w:sz w:val="22"/>
          <w:szCs w:val="22"/>
          <w:lang w:eastAsia="en-AU"/>
        </w:rPr>
        <w:t xml:space="preserve"> The expected increases in revertant colony numbers were observed with all the positive control articles used, confirming the validity of the assay.</w:t>
      </w:r>
    </w:p>
    <w:p w14:paraId="230BD2EF" w14:textId="77777777" w:rsidR="003C03C2" w:rsidRDefault="003C03C2" w:rsidP="002A220C">
      <w:pPr>
        <w:pStyle w:val="Default"/>
        <w:rPr>
          <w:color w:val="auto"/>
          <w:sz w:val="22"/>
          <w:szCs w:val="22"/>
          <w:lang w:eastAsia="en-AU"/>
        </w:rPr>
      </w:pPr>
    </w:p>
    <w:p w14:paraId="66C352EC" w14:textId="2F9540AF" w:rsidR="008A6203" w:rsidRDefault="002A220C" w:rsidP="008A6203">
      <w:pPr>
        <w:pStyle w:val="Default"/>
        <w:rPr>
          <w:color w:val="auto"/>
          <w:sz w:val="22"/>
          <w:szCs w:val="22"/>
          <w:lang w:eastAsia="en-AU"/>
        </w:rPr>
      </w:pPr>
      <w:r w:rsidRPr="002A220C">
        <w:rPr>
          <w:color w:val="auto"/>
          <w:sz w:val="22"/>
          <w:szCs w:val="22"/>
          <w:lang w:eastAsia="en-AU"/>
        </w:rPr>
        <w:t>It was concluded that p</w:t>
      </w:r>
      <w:r w:rsidR="00EB05F6" w:rsidRPr="002A220C">
        <w:rPr>
          <w:color w:val="auto"/>
          <w:sz w:val="22"/>
          <w:szCs w:val="22"/>
          <w:lang w:eastAsia="en-AU"/>
        </w:rPr>
        <w:t xml:space="preserve">olygalacturonase produced with </w:t>
      </w:r>
      <w:r w:rsidR="00EB05F6" w:rsidRPr="00353B1F">
        <w:rPr>
          <w:i/>
          <w:color w:val="auto"/>
          <w:sz w:val="22"/>
          <w:szCs w:val="22"/>
          <w:lang w:eastAsia="en-AU"/>
        </w:rPr>
        <w:t>A</w:t>
      </w:r>
      <w:r w:rsidR="00353B1F" w:rsidRPr="00353B1F">
        <w:rPr>
          <w:i/>
          <w:color w:val="auto"/>
          <w:sz w:val="22"/>
          <w:szCs w:val="22"/>
          <w:lang w:eastAsia="en-AU"/>
        </w:rPr>
        <w:t xml:space="preserve">. </w:t>
      </w:r>
      <w:r w:rsidR="00EB05F6" w:rsidRPr="00353B1F">
        <w:rPr>
          <w:i/>
          <w:color w:val="auto"/>
          <w:sz w:val="22"/>
          <w:szCs w:val="22"/>
          <w:lang w:eastAsia="en-AU"/>
        </w:rPr>
        <w:t>oryzae</w:t>
      </w:r>
      <w:r w:rsidR="00EB05F6" w:rsidRPr="002A220C">
        <w:rPr>
          <w:color w:val="auto"/>
          <w:sz w:val="22"/>
          <w:szCs w:val="22"/>
          <w:lang w:eastAsia="en-AU"/>
        </w:rPr>
        <w:t xml:space="preserve"> </w:t>
      </w:r>
      <w:r w:rsidRPr="002A220C">
        <w:rPr>
          <w:color w:val="auto"/>
          <w:sz w:val="22"/>
          <w:szCs w:val="22"/>
          <w:lang w:eastAsia="en-AU"/>
        </w:rPr>
        <w:t xml:space="preserve">was not </w:t>
      </w:r>
      <w:r w:rsidR="00EB05F6" w:rsidRPr="002A220C">
        <w:rPr>
          <w:color w:val="auto"/>
          <w:sz w:val="22"/>
          <w:szCs w:val="22"/>
          <w:lang w:eastAsia="en-AU"/>
        </w:rPr>
        <w:t xml:space="preserve">mutagenic </w:t>
      </w:r>
      <w:r w:rsidRPr="002A220C">
        <w:rPr>
          <w:color w:val="auto"/>
          <w:sz w:val="22"/>
          <w:szCs w:val="22"/>
          <w:lang w:eastAsia="en-AU"/>
        </w:rPr>
        <w:t>und</w:t>
      </w:r>
      <w:r>
        <w:rPr>
          <w:color w:val="auto"/>
          <w:sz w:val="22"/>
          <w:szCs w:val="22"/>
          <w:lang w:eastAsia="en-AU"/>
        </w:rPr>
        <w:t>er the conditions of the assay.</w:t>
      </w:r>
    </w:p>
    <w:p w14:paraId="0BDF3C0A" w14:textId="77777777" w:rsidR="00414794" w:rsidRDefault="00414794" w:rsidP="008A6203">
      <w:pPr>
        <w:pStyle w:val="Default"/>
        <w:rPr>
          <w:szCs w:val="22"/>
          <w:lang w:eastAsia="en-AU"/>
        </w:rPr>
      </w:pPr>
    </w:p>
    <w:p w14:paraId="22F385C0" w14:textId="77777777" w:rsidR="0092306E" w:rsidRPr="000E7920" w:rsidRDefault="005E4B35" w:rsidP="005E4B35">
      <w:pPr>
        <w:widowControl/>
        <w:ind w:left="142"/>
        <w:rPr>
          <w:rFonts w:cs="Arial"/>
          <w:lang w:bidi="ar-SA"/>
        </w:rPr>
      </w:pPr>
      <w:r w:rsidRPr="00904414">
        <w:rPr>
          <w:rFonts w:cs="Arial"/>
          <w:iCs/>
          <w:lang w:bidi="ar-SA"/>
        </w:rPr>
        <w:t>In vitro</w:t>
      </w:r>
      <w:r w:rsidRPr="005E4B35">
        <w:rPr>
          <w:rFonts w:cs="Arial"/>
          <w:i/>
          <w:iCs/>
          <w:lang w:bidi="ar-SA"/>
        </w:rPr>
        <w:t xml:space="preserve"> </w:t>
      </w:r>
      <w:r w:rsidRPr="005E4B35">
        <w:rPr>
          <w:rFonts w:cs="Arial"/>
          <w:i/>
          <w:lang w:bidi="ar-SA"/>
        </w:rPr>
        <w:t xml:space="preserve">micronuclei </w:t>
      </w:r>
      <w:r w:rsidRPr="000E7920">
        <w:rPr>
          <w:rFonts w:cs="Arial"/>
          <w:i/>
          <w:lang w:bidi="ar-SA"/>
        </w:rPr>
        <w:t>assay (</w:t>
      </w:r>
      <w:r w:rsidR="00821184" w:rsidRPr="000E7920">
        <w:rPr>
          <w:rFonts w:cs="Arial"/>
          <w:i/>
          <w:lang w:bidi="ar-SA"/>
        </w:rPr>
        <w:t>Donath</w:t>
      </w:r>
      <w:r w:rsidRPr="000E7920">
        <w:rPr>
          <w:rFonts w:cs="Arial"/>
          <w:i/>
          <w:lang w:bidi="ar-SA"/>
        </w:rPr>
        <w:t xml:space="preserve"> et al 201</w:t>
      </w:r>
      <w:r w:rsidR="00B325DE" w:rsidRPr="000E7920">
        <w:rPr>
          <w:rFonts w:cs="Arial"/>
          <w:i/>
          <w:lang w:bidi="ar-SA"/>
        </w:rPr>
        <w:t>9</w:t>
      </w:r>
      <w:r w:rsidRPr="000E7920">
        <w:rPr>
          <w:rFonts w:cs="Arial"/>
          <w:i/>
          <w:lang w:bidi="ar-SA"/>
        </w:rPr>
        <w:t>; unpublished study). Regulatory status: GLP; in compliance with OECD Guideline 4</w:t>
      </w:r>
      <w:r w:rsidR="00B325DE" w:rsidRPr="000E7920">
        <w:rPr>
          <w:rFonts w:cs="Arial"/>
          <w:i/>
          <w:lang w:bidi="ar-SA"/>
        </w:rPr>
        <w:t>73</w:t>
      </w:r>
    </w:p>
    <w:p w14:paraId="01702CEF" w14:textId="65F27EB3" w:rsidR="005E4B35" w:rsidRPr="000E7920" w:rsidRDefault="005E4B35" w:rsidP="005E4B35">
      <w:pPr>
        <w:pStyle w:val="Default"/>
        <w:rPr>
          <w:color w:val="auto"/>
          <w:sz w:val="22"/>
          <w:szCs w:val="22"/>
        </w:rPr>
      </w:pPr>
    </w:p>
    <w:p w14:paraId="6FC4A071" w14:textId="0441DDCA" w:rsidR="00023437" w:rsidRPr="000E7920" w:rsidRDefault="00023437" w:rsidP="005E4B35">
      <w:pPr>
        <w:pStyle w:val="Default"/>
        <w:rPr>
          <w:color w:val="auto"/>
          <w:sz w:val="22"/>
          <w:szCs w:val="22"/>
        </w:rPr>
      </w:pPr>
      <w:r w:rsidRPr="000E7920">
        <w:rPr>
          <w:color w:val="auto"/>
          <w:sz w:val="22"/>
          <w:szCs w:val="22"/>
        </w:rPr>
        <w:t>The test system for this study comprised human lymphocytes harvested from the peripheral blood of healthy non-smoking donors of unspecified sex.</w:t>
      </w:r>
    </w:p>
    <w:p w14:paraId="55D80B26" w14:textId="77777777" w:rsidR="003C03C2" w:rsidRDefault="003C03C2" w:rsidP="003C03C2">
      <w:pPr>
        <w:rPr>
          <w:lang w:eastAsia="en-AU" w:bidi="ar-SA"/>
        </w:rPr>
      </w:pPr>
    </w:p>
    <w:p w14:paraId="2CD44DAD" w14:textId="09689D8B" w:rsidR="0092306E" w:rsidRDefault="00B325DE" w:rsidP="003C03C2">
      <w:pPr>
        <w:rPr>
          <w:lang w:eastAsia="en-AU" w:bidi="ar-SA"/>
        </w:rPr>
      </w:pPr>
      <w:r>
        <w:rPr>
          <w:lang w:eastAsia="en-AU" w:bidi="ar-SA"/>
        </w:rPr>
        <w:t xml:space="preserve">Test article concentrations for the definitive experiments, based on results of the dose-range-finding experiment, were </w:t>
      </w:r>
      <w:r w:rsidR="00023437">
        <w:rPr>
          <w:lang w:eastAsia="en-AU" w:bidi="ar-SA"/>
        </w:rPr>
        <w:t xml:space="preserve">400, 500 and </w:t>
      </w:r>
      <w:r w:rsidRPr="00B325DE">
        <w:rPr>
          <w:lang w:eastAsia="en-AU" w:bidi="ar-SA"/>
        </w:rPr>
        <w:t xml:space="preserve">600 μg/mL </w:t>
      </w:r>
      <w:r>
        <w:rPr>
          <w:lang w:eastAsia="en-AU" w:bidi="ar-SA"/>
        </w:rPr>
        <w:t xml:space="preserve">without S9 </w:t>
      </w:r>
      <w:r w:rsidR="00023437">
        <w:rPr>
          <w:lang w:eastAsia="en-AU" w:bidi="ar-SA"/>
        </w:rPr>
        <w:t xml:space="preserve">mix </w:t>
      </w:r>
      <w:r w:rsidRPr="00B325DE">
        <w:rPr>
          <w:lang w:eastAsia="en-AU" w:bidi="ar-SA"/>
        </w:rPr>
        <w:t xml:space="preserve">and </w:t>
      </w:r>
      <w:r w:rsidR="00023437">
        <w:rPr>
          <w:lang w:eastAsia="en-AU" w:bidi="ar-SA"/>
        </w:rPr>
        <w:t xml:space="preserve">250, 500 and 750 </w:t>
      </w:r>
      <w:r w:rsidRPr="00B325DE">
        <w:rPr>
          <w:lang w:eastAsia="en-AU" w:bidi="ar-SA"/>
        </w:rPr>
        <w:t xml:space="preserve">μg/mL </w:t>
      </w:r>
      <w:r>
        <w:rPr>
          <w:lang w:eastAsia="en-AU" w:bidi="ar-SA"/>
        </w:rPr>
        <w:t xml:space="preserve">with S9 </w:t>
      </w:r>
      <w:r w:rsidR="00023437">
        <w:rPr>
          <w:lang w:eastAsia="en-AU" w:bidi="ar-SA"/>
        </w:rPr>
        <w:t xml:space="preserve">mix </w:t>
      </w:r>
      <w:r>
        <w:rPr>
          <w:lang w:eastAsia="en-AU" w:bidi="ar-SA"/>
        </w:rPr>
        <w:t xml:space="preserve">in </w:t>
      </w:r>
      <w:r w:rsidR="00023437">
        <w:rPr>
          <w:lang w:eastAsia="en-AU" w:bidi="ar-SA"/>
        </w:rPr>
        <w:t>the 4-hour exposure protocol (</w:t>
      </w:r>
      <w:r>
        <w:rPr>
          <w:lang w:eastAsia="en-AU" w:bidi="ar-SA"/>
        </w:rPr>
        <w:t>Experiment I</w:t>
      </w:r>
      <w:r w:rsidR="00023437">
        <w:rPr>
          <w:lang w:eastAsia="en-AU" w:bidi="ar-SA"/>
        </w:rPr>
        <w:t>)</w:t>
      </w:r>
      <w:r w:rsidRPr="00B325DE">
        <w:rPr>
          <w:lang w:eastAsia="en-AU" w:bidi="ar-SA"/>
        </w:rPr>
        <w:t>, and</w:t>
      </w:r>
      <w:r w:rsidR="00023437">
        <w:rPr>
          <w:lang w:eastAsia="en-AU" w:bidi="ar-SA"/>
        </w:rPr>
        <w:t xml:space="preserve"> 25, 50 and 100 </w:t>
      </w:r>
      <w:r w:rsidR="00023437" w:rsidRPr="00023437">
        <w:rPr>
          <w:lang w:eastAsia="en-AU" w:bidi="ar-SA"/>
        </w:rPr>
        <w:t>μg/mL</w:t>
      </w:r>
      <w:r w:rsidR="00023437">
        <w:rPr>
          <w:lang w:eastAsia="en-AU" w:bidi="ar-SA"/>
        </w:rPr>
        <w:t xml:space="preserve"> without S9 mix in the 44-hour exposure protocol (Experiment II)</w:t>
      </w:r>
      <w:r>
        <w:rPr>
          <w:lang w:eastAsia="en-AU" w:bidi="ar-SA"/>
        </w:rPr>
        <w:t xml:space="preserve">. </w:t>
      </w:r>
      <w:r w:rsidR="00023437">
        <w:rPr>
          <w:lang w:eastAsia="en-AU" w:bidi="ar-SA"/>
        </w:rPr>
        <w:t>Appropriate positive control articles, as recommended by the Guideline, and negative control (culture medium) were also assayed.</w:t>
      </w:r>
    </w:p>
    <w:p w14:paraId="0D70A1C2" w14:textId="77777777" w:rsidR="003C03C2" w:rsidRDefault="003C03C2" w:rsidP="003C03C2">
      <w:pPr>
        <w:rPr>
          <w:lang w:eastAsia="en-AU" w:bidi="ar-SA"/>
        </w:rPr>
      </w:pPr>
    </w:p>
    <w:p w14:paraId="0DA1E16C" w14:textId="31279E2D" w:rsidR="00023437" w:rsidRDefault="00023437" w:rsidP="003C03C2">
      <w:pPr>
        <w:rPr>
          <w:lang w:eastAsia="en-AU" w:bidi="ar-SA"/>
        </w:rPr>
      </w:pPr>
      <w:r>
        <w:rPr>
          <w:lang w:eastAsia="en-AU" w:bidi="ar-SA"/>
        </w:rPr>
        <w:t xml:space="preserve">No precipitation of the test article was observed at any concentration, but </w:t>
      </w:r>
      <w:r w:rsidR="0089094B">
        <w:rPr>
          <w:lang w:eastAsia="en-AU" w:bidi="ar-SA"/>
        </w:rPr>
        <w:t xml:space="preserve">some evidence of cytotoxicity was observed. In Experiment I, increased cytostasis was observed at 600 </w:t>
      </w:r>
      <w:r w:rsidR="0089094B" w:rsidRPr="0089094B">
        <w:rPr>
          <w:lang w:eastAsia="en-AU" w:bidi="ar-SA"/>
        </w:rPr>
        <w:t xml:space="preserve">μg/mL without </w:t>
      </w:r>
      <w:r w:rsidR="0089094B">
        <w:rPr>
          <w:lang w:eastAsia="en-AU" w:bidi="ar-SA"/>
        </w:rPr>
        <w:t>S9</w:t>
      </w:r>
      <w:r w:rsidR="0089094B" w:rsidRPr="0089094B">
        <w:rPr>
          <w:lang w:eastAsia="en-AU" w:bidi="ar-SA"/>
        </w:rPr>
        <w:t xml:space="preserve"> and at 750 μg/mL with </w:t>
      </w:r>
      <w:r w:rsidR="0089094B">
        <w:rPr>
          <w:lang w:eastAsia="en-AU" w:bidi="ar-SA"/>
        </w:rPr>
        <w:t>S9</w:t>
      </w:r>
      <w:r w:rsidR="0089094B" w:rsidRPr="0089094B">
        <w:rPr>
          <w:lang w:eastAsia="en-AU" w:bidi="ar-SA"/>
        </w:rPr>
        <w:t xml:space="preserve">. In experiment II an increase </w:t>
      </w:r>
      <w:r w:rsidR="0089094B">
        <w:rPr>
          <w:lang w:eastAsia="en-AU" w:bidi="ar-SA"/>
        </w:rPr>
        <w:t>in</w:t>
      </w:r>
      <w:r w:rsidR="0089094B" w:rsidRPr="0089094B">
        <w:rPr>
          <w:lang w:eastAsia="en-AU" w:bidi="ar-SA"/>
        </w:rPr>
        <w:t xml:space="preserve"> cytostasis was </w:t>
      </w:r>
      <w:r w:rsidR="0089094B">
        <w:rPr>
          <w:lang w:eastAsia="en-AU" w:bidi="ar-SA"/>
        </w:rPr>
        <w:t>observed</w:t>
      </w:r>
      <w:r w:rsidR="0089094B" w:rsidRPr="0089094B">
        <w:rPr>
          <w:lang w:eastAsia="en-AU" w:bidi="ar-SA"/>
        </w:rPr>
        <w:t xml:space="preserve"> at </w:t>
      </w:r>
      <w:r w:rsidR="0089094B">
        <w:rPr>
          <w:rFonts w:cs="Arial"/>
          <w:lang w:eastAsia="en-AU" w:bidi="ar-SA"/>
        </w:rPr>
        <w:t>≥</w:t>
      </w:r>
      <w:r w:rsidR="0089094B">
        <w:rPr>
          <w:lang w:eastAsia="en-AU" w:bidi="ar-SA"/>
        </w:rPr>
        <w:t>50 μg/mL.</w:t>
      </w:r>
    </w:p>
    <w:p w14:paraId="57EBEEFA" w14:textId="77777777" w:rsidR="003C03C2" w:rsidRDefault="003C03C2" w:rsidP="003C03C2">
      <w:pPr>
        <w:rPr>
          <w:lang w:eastAsia="en-AU" w:bidi="ar-SA"/>
        </w:rPr>
      </w:pPr>
    </w:p>
    <w:p w14:paraId="034E4137" w14:textId="1BE61141" w:rsidR="0092306E" w:rsidRDefault="0089094B" w:rsidP="003C03C2">
      <w:pPr>
        <w:rPr>
          <w:lang w:eastAsia="en-AU" w:bidi="ar-SA"/>
        </w:rPr>
      </w:pPr>
      <w:r w:rsidRPr="0089094B">
        <w:rPr>
          <w:lang w:eastAsia="en-AU" w:bidi="ar-SA"/>
        </w:rPr>
        <w:t>N</w:t>
      </w:r>
      <w:r w:rsidR="00023437" w:rsidRPr="0089094B">
        <w:rPr>
          <w:lang w:eastAsia="en-AU" w:bidi="ar-SA"/>
        </w:rPr>
        <w:t xml:space="preserve">o biologically relevant increase of the micronucleus frequency was noted after treatment with the test </w:t>
      </w:r>
      <w:r w:rsidRPr="0089094B">
        <w:rPr>
          <w:lang w:eastAsia="en-AU" w:bidi="ar-SA"/>
        </w:rPr>
        <w:t xml:space="preserve">article </w:t>
      </w:r>
      <w:r w:rsidR="00477315">
        <w:rPr>
          <w:lang w:eastAsia="en-AU" w:bidi="ar-SA"/>
        </w:rPr>
        <w:t>i</w:t>
      </w:r>
      <w:r w:rsidRPr="0089094B">
        <w:rPr>
          <w:lang w:eastAsia="en-AU" w:bidi="ar-SA"/>
        </w:rPr>
        <w:t>n either experiment, with or without S9 mix for metabolic activation. The positive control articles induced the expected statistically significant increases in the frequencies of micronuclei, confirming the validity of the assay.</w:t>
      </w:r>
    </w:p>
    <w:p w14:paraId="79D249C3" w14:textId="77777777" w:rsidR="003C03C2" w:rsidRDefault="003C03C2" w:rsidP="003C03C2">
      <w:pPr>
        <w:rPr>
          <w:lang w:eastAsia="en-AU" w:bidi="ar-SA"/>
        </w:rPr>
      </w:pPr>
    </w:p>
    <w:p w14:paraId="4E378F6A" w14:textId="49D94246" w:rsidR="00B325DE" w:rsidRDefault="0089094B" w:rsidP="003C03C2">
      <w:pPr>
        <w:rPr>
          <w:lang w:eastAsia="en-AU" w:bidi="ar-SA"/>
        </w:rPr>
      </w:pPr>
      <w:r w:rsidRPr="0089094B">
        <w:rPr>
          <w:lang w:eastAsia="en-AU" w:bidi="ar-SA"/>
        </w:rPr>
        <w:t>It was concluded that p</w:t>
      </w:r>
      <w:r w:rsidR="00023437" w:rsidRPr="0089094B">
        <w:rPr>
          <w:lang w:eastAsia="en-AU" w:bidi="ar-SA"/>
        </w:rPr>
        <w:t xml:space="preserve">olygalacturonase produced </w:t>
      </w:r>
      <w:r w:rsidRPr="0089094B">
        <w:rPr>
          <w:lang w:eastAsia="en-AU" w:bidi="ar-SA"/>
        </w:rPr>
        <w:t>by GM</w:t>
      </w:r>
      <w:r w:rsidR="00023437" w:rsidRPr="0089094B">
        <w:rPr>
          <w:lang w:eastAsia="en-AU" w:bidi="ar-SA"/>
        </w:rPr>
        <w:t xml:space="preserve"> </w:t>
      </w:r>
      <w:r w:rsidR="008B6655" w:rsidRPr="0089094B">
        <w:rPr>
          <w:i/>
          <w:lang w:eastAsia="en-AU" w:bidi="ar-SA"/>
        </w:rPr>
        <w:t>A</w:t>
      </w:r>
      <w:r w:rsidR="008B6655">
        <w:rPr>
          <w:i/>
          <w:lang w:eastAsia="en-AU" w:bidi="ar-SA"/>
        </w:rPr>
        <w:t>.</w:t>
      </w:r>
      <w:r w:rsidR="008B6655" w:rsidRPr="0089094B">
        <w:rPr>
          <w:i/>
          <w:lang w:eastAsia="en-AU" w:bidi="ar-SA"/>
        </w:rPr>
        <w:t xml:space="preserve"> </w:t>
      </w:r>
      <w:r w:rsidR="00023437" w:rsidRPr="0089094B">
        <w:rPr>
          <w:i/>
          <w:lang w:eastAsia="en-AU" w:bidi="ar-SA"/>
        </w:rPr>
        <w:t>oryzae</w:t>
      </w:r>
      <w:r w:rsidR="00023437" w:rsidRPr="0089094B">
        <w:rPr>
          <w:lang w:eastAsia="en-AU" w:bidi="ar-SA"/>
        </w:rPr>
        <w:t xml:space="preserve"> did not induce structural and/or numerical chromosomal damage in human lymphocytes</w:t>
      </w:r>
      <w:r w:rsidRPr="0089094B">
        <w:rPr>
          <w:lang w:eastAsia="en-AU" w:bidi="ar-SA"/>
        </w:rPr>
        <w:t>, and is considered to be non-mutagenic in the</w:t>
      </w:r>
      <w:r w:rsidR="00023437" w:rsidRPr="0089094B">
        <w:rPr>
          <w:lang w:eastAsia="en-AU" w:bidi="ar-SA"/>
        </w:rPr>
        <w:t xml:space="preserve"> </w:t>
      </w:r>
      <w:r w:rsidR="00023437" w:rsidRPr="0089094B">
        <w:rPr>
          <w:i/>
          <w:lang w:eastAsia="en-AU" w:bidi="ar-SA"/>
        </w:rPr>
        <w:t>in vitro</w:t>
      </w:r>
      <w:r w:rsidR="00023437" w:rsidRPr="0089094B">
        <w:rPr>
          <w:lang w:eastAsia="en-AU" w:bidi="ar-SA"/>
        </w:rPr>
        <w:t xml:space="preserve"> </w:t>
      </w:r>
      <w:r w:rsidRPr="0089094B">
        <w:rPr>
          <w:lang w:eastAsia="en-AU" w:bidi="ar-SA"/>
        </w:rPr>
        <w:t>m</w:t>
      </w:r>
      <w:r w:rsidR="00023437" w:rsidRPr="0089094B">
        <w:rPr>
          <w:lang w:eastAsia="en-AU" w:bidi="ar-SA"/>
        </w:rPr>
        <w:t xml:space="preserve">ammalian </w:t>
      </w:r>
      <w:r w:rsidRPr="0089094B">
        <w:rPr>
          <w:lang w:eastAsia="en-AU" w:bidi="ar-SA"/>
        </w:rPr>
        <w:t>c</w:t>
      </w:r>
      <w:r w:rsidR="00023437" w:rsidRPr="0089094B">
        <w:rPr>
          <w:lang w:eastAsia="en-AU" w:bidi="ar-SA"/>
        </w:rPr>
        <w:t xml:space="preserve">ell </w:t>
      </w:r>
      <w:r w:rsidRPr="0089094B">
        <w:rPr>
          <w:lang w:eastAsia="en-AU" w:bidi="ar-SA"/>
        </w:rPr>
        <w:t>mi</w:t>
      </w:r>
      <w:r w:rsidR="00023437" w:rsidRPr="0089094B">
        <w:rPr>
          <w:lang w:eastAsia="en-AU" w:bidi="ar-SA"/>
        </w:rPr>
        <w:t xml:space="preserve">cronucleus </w:t>
      </w:r>
      <w:r w:rsidRPr="0089094B">
        <w:rPr>
          <w:lang w:eastAsia="en-AU" w:bidi="ar-SA"/>
        </w:rPr>
        <w:t>t</w:t>
      </w:r>
      <w:r w:rsidR="00023437" w:rsidRPr="0089094B">
        <w:rPr>
          <w:lang w:eastAsia="en-AU" w:bidi="ar-SA"/>
        </w:rPr>
        <w:t>es</w:t>
      </w:r>
      <w:r w:rsidRPr="0089094B">
        <w:rPr>
          <w:lang w:eastAsia="en-AU" w:bidi="ar-SA"/>
        </w:rPr>
        <w:t>t.</w:t>
      </w:r>
    </w:p>
    <w:p w14:paraId="0C24D827" w14:textId="49CB0F2B" w:rsidR="00F319B7" w:rsidRPr="005273F8" w:rsidRDefault="00F319B7" w:rsidP="005273F8">
      <w:pPr>
        <w:pStyle w:val="Heading3"/>
      </w:pPr>
      <w:bookmarkStart w:id="171" w:name="_Toc97036638"/>
      <w:bookmarkStart w:id="172" w:name="_Toc99464567"/>
      <w:bookmarkStart w:id="173" w:name="_Toc99458064"/>
      <w:bookmarkStart w:id="174" w:name="_Toc103671989"/>
      <w:r w:rsidRPr="005273F8">
        <w:t>3.3.4</w:t>
      </w:r>
      <w:r w:rsidRPr="005273F8">
        <w:tab/>
        <w:t>Potential for allergenicity</w:t>
      </w:r>
      <w:bookmarkEnd w:id="171"/>
      <w:bookmarkEnd w:id="172"/>
      <w:bookmarkEnd w:id="173"/>
      <w:bookmarkEnd w:id="174"/>
    </w:p>
    <w:p w14:paraId="134F931E" w14:textId="35EEA400" w:rsidR="008A6203" w:rsidRDefault="00FA4F55" w:rsidP="008A6203">
      <w:pPr>
        <w:rPr>
          <w:bCs/>
          <w:lang w:eastAsia="en-AU" w:bidi="ar-SA"/>
        </w:rPr>
      </w:pPr>
      <w:r>
        <w:rPr>
          <w:lang w:eastAsia="en-AU" w:bidi="ar-SA"/>
        </w:rPr>
        <w:t xml:space="preserve">The results of </w:t>
      </w:r>
      <w:r w:rsidRPr="000E7920">
        <w:rPr>
          <w:lang w:eastAsia="en-AU" w:bidi="ar-SA"/>
        </w:rPr>
        <w:t xml:space="preserve">recent (2020) searches </w:t>
      </w:r>
      <w:r>
        <w:rPr>
          <w:lang w:eastAsia="en-AU" w:bidi="ar-SA"/>
        </w:rPr>
        <w:t>of the FARRP</w:t>
      </w:r>
      <w:r w:rsidR="00CE4B9B">
        <w:rPr>
          <w:rStyle w:val="FootnoteReference"/>
          <w:lang w:eastAsia="en-AU" w:bidi="ar-SA"/>
        </w:rPr>
        <w:footnoteReference w:id="9"/>
      </w:r>
      <w:r>
        <w:rPr>
          <w:lang w:eastAsia="en-AU" w:bidi="ar-SA"/>
        </w:rPr>
        <w:t xml:space="preserve"> and SDAP</w:t>
      </w:r>
      <w:r w:rsidR="00CE4B9B">
        <w:rPr>
          <w:rStyle w:val="FootnoteReference"/>
          <w:lang w:eastAsia="en-AU" w:bidi="ar-SA"/>
        </w:rPr>
        <w:footnoteReference w:id="10"/>
      </w:r>
      <w:r>
        <w:rPr>
          <w:lang w:eastAsia="en-AU" w:bidi="ar-SA"/>
        </w:rPr>
        <w:t xml:space="preserve"> databases</w:t>
      </w:r>
      <w:r w:rsidR="00CE4B9B">
        <w:rPr>
          <w:lang w:eastAsia="en-AU" w:bidi="ar-SA"/>
        </w:rPr>
        <w:t xml:space="preserve"> for homology with the amino acid sequence of the </w:t>
      </w:r>
      <w:r w:rsidR="008F192F">
        <w:rPr>
          <w:lang w:eastAsia="en-AU" w:bidi="ar-SA"/>
        </w:rPr>
        <w:t xml:space="preserve">polygalacturonase </w:t>
      </w:r>
      <w:r w:rsidR="00CE4B9B">
        <w:rPr>
          <w:lang w:eastAsia="en-AU" w:bidi="ar-SA"/>
        </w:rPr>
        <w:t xml:space="preserve">were provided. Searches were for alignment of the entire amino acid sequence and alignment of sliding 80-amino acid window of the protein to known protein allergens. </w:t>
      </w:r>
      <w:r w:rsidRPr="00CE4B9B">
        <w:rPr>
          <w:bCs/>
          <w:lang w:eastAsia="en-AU" w:bidi="ar-SA"/>
        </w:rPr>
        <w:t>The identity percentages of all the hits from both FARRP and SDAP were below the set 35 % identity limit and the three hits having the best E-values</w:t>
      </w:r>
      <w:r w:rsidR="003E56DE">
        <w:rPr>
          <w:rStyle w:val="FootnoteReference"/>
          <w:bCs/>
          <w:lang w:eastAsia="en-AU" w:bidi="ar-SA"/>
        </w:rPr>
        <w:footnoteReference w:id="11"/>
      </w:r>
      <w:r w:rsidRPr="00CE4B9B">
        <w:rPr>
          <w:bCs/>
          <w:lang w:eastAsia="en-AU" w:bidi="ar-SA"/>
        </w:rPr>
        <w:t xml:space="preserve"> were all different in the different databases</w:t>
      </w:r>
      <w:r w:rsidR="00CE4B9B">
        <w:rPr>
          <w:bCs/>
          <w:lang w:eastAsia="en-AU" w:bidi="ar-SA"/>
        </w:rPr>
        <w:t xml:space="preserve">. Using the 80 amino acid sliding window search, the enzyme sequence was found to </w:t>
      </w:r>
      <w:r w:rsidR="00CE4B9B" w:rsidRPr="00CE4B9B">
        <w:rPr>
          <w:bCs/>
          <w:lang w:eastAsia="en-AU" w:bidi="ar-SA"/>
        </w:rPr>
        <w:t xml:space="preserve">have </w:t>
      </w:r>
      <w:r w:rsidRPr="00CE4B9B">
        <w:rPr>
          <w:bCs/>
          <w:lang w:eastAsia="en-AU" w:bidi="ar-SA"/>
        </w:rPr>
        <w:t xml:space="preserve">degrees of identity from 35.8 % to 46.3 % with pollen allergens of different </w:t>
      </w:r>
      <w:r w:rsidR="00CF63B4">
        <w:rPr>
          <w:bCs/>
          <w:lang w:eastAsia="en-AU" w:bidi="ar-SA"/>
        </w:rPr>
        <w:t xml:space="preserve">plant species, including </w:t>
      </w:r>
      <w:r w:rsidRPr="00CE4B9B">
        <w:rPr>
          <w:bCs/>
          <w:lang w:eastAsia="en-AU" w:bidi="ar-SA"/>
        </w:rPr>
        <w:t>maize</w:t>
      </w:r>
      <w:r w:rsidR="003B1151">
        <w:rPr>
          <w:bCs/>
          <w:lang w:eastAsia="en-AU" w:bidi="ar-SA"/>
        </w:rPr>
        <w:t>,</w:t>
      </w:r>
      <w:r w:rsidRPr="00CE4B9B">
        <w:rPr>
          <w:bCs/>
          <w:lang w:eastAsia="en-AU" w:bidi="ar-SA"/>
        </w:rPr>
        <w:t xml:space="preserve"> Bahia grass, </w:t>
      </w:r>
      <w:r w:rsidR="00CF63B4">
        <w:rPr>
          <w:bCs/>
          <w:lang w:eastAsia="en-AU" w:bidi="ar-SA"/>
        </w:rPr>
        <w:t>Japanese cedar, and London Plane trees</w:t>
      </w:r>
      <w:r w:rsidR="00CE4B9B">
        <w:rPr>
          <w:bCs/>
          <w:lang w:eastAsia="en-AU" w:bidi="ar-SA"/>
        </w:rPr>
        <w:t xml:space="preserve">. </w:t>
      </w:r>
      <w:r w:rsidR="003B1151">
        <w:rPr>
          <w:bCs/>
          <w:lang w:eastAsia="en-AU" w:bidi="ar-SA"/>
        </w:rPr>
        <w:t>These pollen allergens</w:t>
      </w:r>
      <w:r w:rsidR="00CF63B4">
        <w:rPr>
          <w:bCs/>
          <w:lang w:eastAsia="en-AU" w:bidi="ar-SA"/>
        </w:rPr>
        <w:t xml:space="preserve"> are respiratory allergens rather than food allergens, and t</w:t>
      </w:r>
      <w:r w:rsidR="00CF63B4" w:rsidRPr="00CF63B4">
        <w:rPr>
          <w:bCs/>
          <w:lang w:eastAsia="en-AU" w:bidi="ar-SA"/>
        </w:rPr>
        <w:t xml:space="preserve">here is good evidence that respiratory allergens do not </w:t>
      </w:r>
      <w:r w:rsidR="00CF63B4">
        <w:rPr>
          <w:bCs/>
          <w:lang w:eastAsia="en-AU" w:bidi="ar-SA"/>
        </w:rPr>
        <w:t>represent</w:t>
      </w:r>
      <w:r w:rsidR="00CF63B4" w:rsidRPr="00CF63B4">
        <w:rPr>
          <w:bCs/>
          <w:lang w:eastAsia="en-AU" w:bidi="ar-SA"/>
        </w:rPr>
        <w:t xml:space="preserve"> an allergic hazard when </w:t>
      </w:r>
      <w:r w:rsidR="00CF63B4" w:rsidRPr="00CF2640">
        <w:rPr>
          <w:bCs/>
          <w:lang w:eastAsia="en-AU" w:bidi="ar-SA"/>
        </w:rPr>
        <w:t>consumed (Bindslev-Jensen et al 2006).</w:t>
      </w:r>
      <w:r w:rsidR="00CE4B9B" w:rsidRPr="00CF2640">
        <w:rPr>
          <w:bCs/>
          <w:lang w:eastAsia="en-AU" w:bidi="ar-SA"/>
        </w:rPr>
        <w:t xml:space="preserve"> The</w:t>
      </w:r>
      <w:r w:rsidR="00CE4B9B">
        <w:rPr>
          <w:bCs/>
          <w:lang w:eastAsia="en-AU" w:bidi="ar-SA"/>
        </w:rPr>
        <w:t xml:space="preserve"> predictive value of the 80 amino acid sliding window search has been called in to </w:t>
      </w:r>
      <w:r w:rsidR="00CE4B9B" w:rsidRPr="00CE4B9B">
        <w:rPr>
          <w:bCs/>
          <w:lang w:eastAsia="en-AU" w:bidi="ar-SA"/>
        </w:rPr>
        <w:t>question</w:t>
      </w:r>
      <w:r w:rsidRPr="00CE4B9B">
        <w:rPr>
          <w:bCs/>
          <w:lang w:eastAsia="en-AU" w:bidi="ar-SA"/>
        </w:rPr>
        <w:t xml:space="preserve"> </w:t>
      </w:r>
      <w:r w:rsidR="00A03A8F" w:rsidRPr="00CF2640">
        <w:rPr>
          <w:bCs/>
          <w:lang w:eastAsia="en-AU" w:bidi="ar-SA"/>
        </w:rPr>
        <w:t xml:space="preserve">by </w:t>
      </w:r>
      <w:r w:rsidRPr="00CF2640">
        <w:rPr>
          <w:bCs/>
          <w:lang w:eastAsia="en-AU" w:bidi="ar-SA"/>
        </w:rPr>
        <w:t>Ladics et al.</w:t>
      </w:r>
      <w:r w:rsidR="00CE4B9B" w:rsidRPr="00CF2640">
        <w:rPr>
          <w:bCs/>
          <w:lang w:eastAsia="en-AU" w:bidi="ar-SA"/>
        </w:rPr>
        <w:t xml:space="preserve"> </w:t>
      </w:r>
      <w:r w:rsidR="00CF2640" w:rsidRPr="00CF2640">
        <w:rPr>
          <w:bCs/>
          <w:lang w:eastAsia="en-AU" w:bidi="ar-SA"/>
        </w:rPr>
        <w:t>(</w:t>
      </w:r>
      <w:r w:rsidRPr="00CF2640">
        <w:rPr>
          <w:bCs/>
          <w:lang w:eastAsia="en-AU" w:bidi="ar-SA"/>
        </w:rPr>
        <w:t>2007</w:t>
      </w:r>
      <w:r w:rsidR="00CF2640" w:rsidRPr="00CF2640">
        <w:rPr>
          <w:bCs/>
          <w:lang w:eastAsia="en-AU" w:bidi="ar-SA"/>
        </w:rPr>
        <w:t>)</w:t>
      </w:r>
      <w:r w:rsidR="00A03A8F" w:rsidRPr="00CF2640">
        <w:rPr>
          <w:bCs/>
          <w:lang w:eastAsia="en-AU" w:bidi="ar-SA"/>
        </w:rPr>
        <w:t xml:space="preserve"> and</w:t>
      </w:r>
      <w:r w:rsidR="00CE4B9B" w:rsidRPr="00CF2640">
        <w:rPr>
          <w:bCs/>
          <w:lang w:eastAsia="en-AU" w:bidi="ar-SA"/>
        </w:rPr>
        <w:t xml:space="preserve"> </w:t>
      </w:r>
      <w:r w:rsidRPr="00CF2640">
        <w:rPr>
          <w:bCs/>
          <w:lang w:eastAsia="en-AU" w:bidi="ar-SA"/>
        </w:rPr>
        <w:t>Goodman and Tetteh</w:t>
      </w:r>
      <w:r w:rsidR="00CF2640" w:rsidRPr="00CF2640">
        <w:rPr>
          <w:bCs/>
          <w:lang w:eastAsia="en-AU" w:bidi="ar-SA"/>
        </w:rPr>
        <w:t xml:space="preserve"> </w:t>
      </w:r>
      <w:r w:rsidR="00A03A8F" w:rsidRPr="00CF2640">
        <w:rPr>
          <w:bCs/>
          <w:lang w:eastAsia="en-AU" w:bidi="ar-SA"/>
        </w:rPr>
        <w:t>(</w:t>
      </w:r>
      <w:r w:rsidRPr="00CF2640">
        <w:rPr>
          <w:bCs/>
          <w:lang w:eastAsia="en-AU" w:bidi="ar-SA"/>
        </w:rPr>
        <w:t xml:space="preserve"> 2011)</w:t>
      </w:r>
      <w:r w:rsidR="00AD551B">
        <w:rPr>
          <w:bCs/>
          <w:lang w:eastAsia="en-AU" w:bidi="ar-SA"/>
        </w:rPr>
        <w:t>,</w:t>
      </w:r>
      <w:r w:rsidR="00A03A8F" w:rsidRPr="00CF2640">
        <w:rPr>
          <w:bCs/>
          <w:lang w:eastAsia="en-AU" w:bidi="ar-SA"/>
        </w:rPr>
        <w:t xml:space="preserve"> with the latter authors recommending</w:t>
      </w:r>
      <w:r w:rsidR="00A03A8F">
        <w:rPr>
          <w:bCs/>
          <w:lang w:eastAsia="en-AU" w:bidi="ar-SA"/>
        </w:rPr>
        <w:t xml:space="preserve"> that degree of identity less than 50% should not be considered relevant</w:t>
      </w:r>
      <w:r w:rsidR="008B7415">
        <w:rPr>
          <w:bCs/>
          <w:lang w:eastAsia="en-AU" w:bidi="ar-SA"/>
        </w:rPr>
        <w:t>.</w:t>
      </w:r>
      <w:r w:rsidR="00003FD8">
        <w:rPr>
          <w:bCs/>
          <w:lang w:eastAsia="en-AU" w:bidi="ar-SA"/>
        </w:rPr>
        <w:t xml:space="preserve"> </w:t>
      </w:r>
      <w:r w:rsidR="007C25C2">
        <w:rPr>
          <w:bCs/>
          <w:lang w:eastAsia="en-AU" w:bidi="ar-SA"/>
        </w:rPr>
        <w:t>As noted in Section 2.2.1 above, wheat-based products are used in the fermentation media</w:t>
      </w:r>
      <w:r w:rsidR="0042032B">
        <w:rPr>
          <w:bCs/>
          <w:lang w:eastAsia="en-AU" w:bidi="ar-SA"/>
        </w:rPr>
        <w:t xml:space="preserve">, however they are </w:t>
      </w:r>
      <w:r w:rsidR="00631E25">
        <w:rPr>
          <w:bCs/>
          <w:lang w:eastAsia="en-AU" w:bidi="ar-SA"/>
        </w:rPr>
        <w:t>likely</w:t>
      </w:r>
      <w:r w:rsidR="0042032B">
        <w:rPr>
          <w:bCs/>
          <w:lang w:eastAsia="en-AU" w:bidi="ar-SA"/>
        </w:rPr>
        <w:t xml:space="preserve"> to be </w:t>
      </w:r>
      <w:r w:rsidR="00631E25">
        <w:rPr>
          <w:bCs/>
          <w:lang w:eastAsia="en-AU" w:bidi="ar-SA"/>
        </w:rPr>
        <w:t>consumed during the fermentation process. G</w:t>
      </w:r>
      <w:r w:rsidR="00631E25" w:rsidRPr="00631E25">
        <w:rPr>
          <w:bCs/>
          <w:lang w:eastAsia="en-AU" w:bidi="ar-SA"/>
        </w:rPr>
        <w:t xml:space="preserve">iven the absence of homology </w:t>
      </w:r>
      <w:r w:rsidR="00D3732A">
        <w:rPr>
          <w:bCs/>
          <w:lang w:eastAsia="en-AU" w:bidi="ar-SA"/>
        </w:rPr>
        <w:t xml:space="preserve">of the enzyme </w:t>
      </w:r>
      <w:r w:rsidR="00631E25" w:rsidRPr="00631E25">
        <w:rPr>
          <w:bCs/>
          <w:lang w:eastAsia="en-AU" w:bidi="ar-SA"/>
        </w:rPr>
        <w:t xml:space="preserve">with known food allergens, </w:t>
      </w:r>
      <w:r w:rsidR="00631E25">
        <w:rPr>
          <w:bCs/>
          <w:lang w:eastAsia="en-AU" w:bidi="ar-SA"/>
        </w:rPr>
        <w:t xml:space="preserve">and that allergens from wheat are </w:t>
      </w:r>
      <w:r w:rsidR="0042032B">
        <w:rPr>
          <w:bCs/>
          <w:lang w:eastAsia="en-AU" w:bidi="ar-SA"/>
        </w:rPr>
        <w:t>unlikely to be present in the commercial preparation</w:t>
      </w:r>
      <w:r w:rsidR="00631E25">
        <w:rPr>
          <w:bCs/>
          <w:lang w:eastAsia="en-AU" w:bidi="ar-SA"/>
        </w:rPr>
        <w:t xml:space="preserve">, </w:t>
      </w:r>
      <w:r w:rsidR="00631E25" w:rsidRPr="00631E25">
        <w:rPr>
          <w:bCs/>
          <w:lang w:eastAsia="en-AU" w:bidi="ar-SA"/>
        </w:rPr>
        <w:t xml:space="preserve">FSANZ concludes that the </w:t>
      </w:r>
      <w:r w:rsidR="00D3732A">
        <w:rPr>
          <w:bCs/>
          <w:lang w:eastAsia="en-AU" w:bidi="ar-SA"/>
        </w:rPr>
        <w:t>commercial enzyme preparation</w:t>
      </w:r>
      <w:r w:rsidR="00D3732A" w:rsidRPr="00631E25">
        <w:rPr>
          <w:bCs/>
          <w:lang w:eastAsia="en-AU" w:bidi="ar-SA"/>
        </w:rPr>
        <w:t xml:space="preserve"> </w:t>
      </w:r>
      <w:r w:rsidR="00631E25" w:rsidRPr="00631E25">
        <w:rPr>
          <w:bCs/>
          <w:lang w:eastAsia="en-AU" w:bidi="ar-SA"/>
        </w:rPr>
        <w:t>is unlikely to pose a risk of food allergy</w:t>
      </w:r>
      <w:r w:rsidR="009529F1">
        <w:rPr>
          <w:bCs/>
          <w:lang w:eastAsia="en-AU" w:bidi="ar-SA"/>
        </w:rPr>
        <w:t>.</w:t>
      </w:r>
    </w:p>
    <w:p w14:paraId="0BBB9000" w14:textId="6899B249" w:rsidR="00F319B7" w:rsidRPr="005273F8" w:rsidRDefault="00F319B7" w:rsidP="005273F8">
      <w:pPr>
        <w:pStyle w:val="Heading3"/>
      </w:pPr>
      <w:bookmarkStart w:id="175" w:name="_Toc97036639"/>
      <w:bookmarkStart w:id="176" w:name="_Toc99464568"/>
      <w:bookmarkStart w:id="177" w:name="_Toc99458065"/>
      <w:bookmarkStart w:id="178" w:name="_Toc103671990"/>
      <w:r w:rsidRPr="005273F8">
        <w:lastRenderedPageBreak/>
        <w:t>3.3.5</w:t>
      </w:r>
      <w:r w:rsidRPr="005273F8">
        <w:tab/>
        <w:t>Assessments by other regulatory agencies</w:t>
      </w:r>
      <w:bookmarkEnd w:id="175"/>
      <w:bookmarkEnd w:id="176"/>
      <w:bookmarkEnd w:id="177"/>
      <w:bookmarkEnd w:id="178"/>
    </w:p>
    <w:p w14:paraId="6B597EEC" w14:textId="444F9D8B" w:rsidR="005E4B35" w:rsidRPr="0000583C" w:rsidRDefault="0000583C" w:rsidP="00FC50C3">
      <w:pPr>
        <w:keepNext/>
        <w:spacing w:before="240" w:after="240"/>
        <w:ind w:left="851" w:hanging="851"/>
        <w:rPr>
          <w:rFonts w:cs="Arial"/>
          <w:b/>
          <w:bCs/>
          <w:sz w:val="28"/>
          <w:szCs w:val="22"/>
          <w:lang w:bidi="ar-SA"/>
        </w:rPr>
      </w:pPr>
      <w:r w:rsidRPr="0000583C">
        <w:rPr>
          <w:bCs/>
          <w:color w:val="000000" w:themeColor="text1"/>
          <w:lang w:eastAsia="en-AU" w:bidi="ar-SA"/>
        </w:rPr>
        <w:t>No safety assessments</w:t>
      </w:r>
      <w:r w:rsidR="00794FA8">
        <w:rPr>
          <w:bCs/>
          <w:color w:val="000000" w:themeColor="text1"/>
          <w:lang w:eastAsia="en-AU" w:bidi="ar-SA"/>
        </w:rPr>
        <w:t xml:space="preserve"> by other regulatory agencies are available.</w:t>
      </w:r>
    </w:p>
    <w:p w14:paraId="5054BB1F" w14:textId="77777777" w:rsidR="006F54EF" w:rsidRPr="008D5EB8" w:rsidRDefault="006F54EF" w:rsidP="008D5EB8">
      <w:pPr>
        <w:pStyle w:val="Heading2"/>
      </w:pPr>
      <w:bookmarkStart w:id="179" w:name="_Toc67471251"/>
      <w:bookmarkStart w:id="180" w:name="_Toc75789522"/>
      <w:bookmarkStart w:id="181" w:name="_Toc76390770"/>
      <w:bookmarkStart w:id="182" w:name="_Toc99464569"/>
      <w:bookmarkStart w:id="183" w:name="_Toc99458066"/>
      <w:bookmarkStart w:id="184" w:name="_Toc103671991"/>
      <w:r w:rsidRPr="00F46E4C">
        <w:t>3.</w:t>
      </w:r>
      <w:r>
        <w:t>4</w:t>
      </w:r>
      <w:r w:rsidRPr="00F46E4C">
        <w:tab/>
        <w:t xml:space="preserve">Dietary </w:t>
      </w:r>
      <w:r>
        <w:t>exposure</w:t>
      </w:r>
      <w:r w:rsidRPr="00F46E4C">
        <w:t xml:space="preserve"> </w:t>
      </w:r>
      <w:r>
        <w:t>a</w:t>
      </w:r>
      <w:r w:rsidRPr="00F46E4C">
        <w:t>ssessment</w:t>
      </w:r>
      <w:bookmarkEnd w:id="179"/>
      <w:bookmarkEnd w:id="180"/>
      <w:bookmarkEnd w:id="181"/>
      <w:bookmarkEnd w:id="182"/>
      <w:bookmarkEnd w:id="183"/>
      <w:bookmarkEnd w:id="184"/>
    </w:p>
    <w:p w14:paraId="5D9B6495" w14:textId="7C1BEADB" w:rsidR="006F54EF" w:rsidRPr="005D1355" w:rsidRDefault="006F54EF" w:rsidP="006F54EF">
      <w:pPr>
        <w:rPr>
          <w:szCs w:val="22"/>
        </w:rPr>
      </w:pPr>
      <w:r w:rsidRPr="005D1355">
        <w:rPr>
          <w:szCs w:val="22"/>
        </w:rPr>
        <w:t xml:space="preserve">The objective of the dietary exposure assessment was to review the budget method calculation presented by the applicant as a ‘worse-case scenario’ approach to estimating likely levels of dietary exposure assuming all added </w:t>
      </w:r>
      <w:r>
        <w:rPr>
          <w:szCs w:val="22"/>
        </w:rPr>
        <w:t>p</w:t>
      </w:r>
      <w:r w:rsidRPr="00A03BCD">
        <w:rPr>
          <w:szCs w:val="22"/>
        </w:rPr>
        <w:t>olygalacturonase</w:t>
      </w:r>
      <w:r>
        <w:rPr>
          <w:szCs w:val="22"/>
        </w:rPr>
        <w:t xml:space="preserve"> </w:t>
      </w:r>
      <w:r w:rsidR="00331F8F">
        <w:rPr>
          <w:szCs w:val="22"/>
        </w:rPr>
        <w:t xml:space="preserve">enzyme from GM </w:t>
      </w:r>
      <w:r w:rsidR="00FA40BB">
        <w:rPr>
          <w:rFonts w:eastAsia="Calibri"/>
          <w:i/>
          <w:iCs/>
          <w:lang w:eastAsia="en-AU"/>
        </w:rPr>
        <w:t>A. </w:t>
      </w:r>
      <w:r w:rsidR="00331F8F">
        <w:rPr>
          <w:rFonts w:eastAsia="Calibri"/>
          <w:i/>
          <w:iCs/>
          <w:lang w:eastAsia="en-AU"/>
        </w:rPr>
        <w:t>oryzae</w:t>
      </w:r>
      <w:r w:rsidR="00331F8F" w:rsidRPr="00D30F8A">
        <w:t xml:space="preserve"> </w:t>
      </w:r>
      <w:r w:rsidRPr="005D1355">
        <w:rPr>
          <w:szCs w:val="22"/>
        </w:rPr>
        <w:t>remained in the food.</w:t>
      </w:r>
    </w:p>
    <w:p w14:paraId="2D6E9D8B" w14:textId="77777777" w:rsidR="006F54EF" w:rsidRPr="005D1355" w:rsidRDefault="006F54EF" w:rsidP="006F54EF">
      <w:pPr>
        <w:rPr>
          <w:szCs w:val="22"/>
        </w:rPr>
      </w:pPr>
    </w:p>
    <w:p w14:paraId="6A8C1570" w14:textId="77777777" w:rsidR="0092306E" w:rsidRDefault="006F54EF" w:rsidP="00331F8F">
      <w:pPr>
        <w:rPr>
          <w:szCs w:val="22"/>
        </w:rPr>
      </w:pPr>
      <w:r w:rsidRPr="005D1355">
        <w:rPr>
          <w:szCs w:val="22"/>
        </w:rPr>
        <w:t xml:space="preserve">The budget method is a valid screening tool for estimating the theoretical maximum daily intake (TMDI) of a food additive (Douglass </w:t>
      </w:r>
      <w:r w:rsidRPr="005D1355">
        <w:rPr>
          <w:i/>
          <w:szCs w:val="22"/>
        </w:rPr>
        <w:t>et al.,</w:t>
      </w:r>
      <w:r w:rsidRPr="005D1355">
        <w:rPr>
          <w:szCs w:val="22"/>
        </w:rPr>
        <w:t xml:space="preserve"> 1997). The calculation is based on physiological food and liquid requirements, the food additive concentration in foods and beverages, and the proportion of foods and beverages that may contain the food additive. The TMDI can then be compared to an </w:t>
      </w:r>
      <w:r w:rsidR="00D1142E">
        <w:rPr>
          <w:szCs w:val="22"/>
        </w:rPr>
        <w:t>acceptable daily intake (</w:t>
      </w:r>
      <w:r w:rsidRPr="005D1355">
        <w:rPr>
          <w:szCs w:val="22"/>
        </w:rPr>
        <w:t>ADI</w:t>
      </w:r>
      <w:r w:rsidR="00D1142E">
        <w:rPr>
          <w:szCs w:val="22"/>
        </w:rPr>
        <w:t>)</w:t>
      </w:r>
      <w:r w:rsidRPr="005D1355">
        <w:rPr>
          <w:szCs w:val="22"/>
        </w:rPr>
        <w:t xml:space="preserve"> or a NOAEL to estimate a margin of exposure for risk characterisation purposes.</w:t>
      </w:r>
    </w:p>
    <w:p w14:paraId="6CCCE85B" w14:textId="222B19DE" w:rsidR="006F54EF" w:rsidRPr="005D1355" w:rsidRDefault="006F54EF" w:rsidP="006F54EF">
      <w:pPr>
        <w:rPr>
          <w:szCs w:val="22"/>
        </w:rPr>
      </w:pPr>
    </w:p>
    <w:p w14:paraId="0BFAD011" w14:textId="77777777" w:rsidR="006F54EF" w:rsidRPr="005D1355" w:rsidRDefault="006F54EF" w:rsidP="006F54EF">
      <w:pPr>
        <w:rPr>
          <w:szCs w:val="22"/>
        </w:rPr>
      </w:pPr>
      <w:r w:rsidRPr="005D1355">
        <w:rPr>
          <w:szCs w:val="22"/>
        </w:rPr>
        <w:t>In their budget method calculation, the applicant made the following assumptions:</w:t>
      </w:r>
    </w:p>
    <w:p w14:paraId="300CC9F5" w14:textId="77777777" w:rsidR="006F54EF" w:rsidRPr="005D1355" w:rsidRDefault="006F54EF" w:rsidP="006F54EF">
      <w:pPr>
        <w:rPr>
          <w:szCs w:val="22"/>
        </w:rPr>
      </w:pPr>
    </w:p>
    <w:p w14:paraId="75AC952A" w14:textId="77777777" w:rsidR="006F54EF" w:rsidRPr="005D1355" w:rsidRDefault="006F54EF" w:rsidP="006F54EF">
      <w:pPr>
        <w:pStyle w:val="FSBullet1"/>
        <w:ind w:left="502" w:hanging="360"/>
        <w:rPr>
          <w:szCs w:val="22"/>
        </w:rPr>
      </w:pPr>
      <w:r w:rsidRPr="005D1355">
        <w:rPr>
          <w:szCs w:val="22"/>
        </w:rPr>
        <w:t>the maximum physiological requirement of solid foods (including milk) is 25 g/kg body weight/day</w:t>
      </w:r>
    </w:p>
    <w:p w14:paraId="78E3724D" w14:textId="77777777" w:rsidR="006F54EF" w:rsidRDefault="006F54EF" w:rsidP="006F54EF">
      <w:pPr>
        <w:pStyle w:val="FSBullet1"/>
        <w:ind w:left="502" w:hanging="360"/>
        <w:rPr>
          <w:szCs w:val="22"/>
        </w:rPr>
      </w:pPr>
      <w:r w:rsidRPr="005D1355">
        <w:rPr>
          <w:szCs w:val="22"/>
        </w:rPr>
        <w:t>the maximum physiological requirement for non-milk beverages is 100 mL/kg body weight/day (the standard level used in a budget method calculation)</w:t>
      </w:r>
    </w:p>
    <w:p w14:paraId="48A4F287" w14:textId="1407EF4D" w:rsidR="006F54EF" w:rsidRPr="003E7428" w:rsidRDefault="006F54EF" w:rsidP="006F54EF">
      <w:pPr>
        <w:pStyle w:val="ListParagraph"/>
        <w:numPr>
          <w:ilvl w:val="0"/>
          <w:numId w:val="1"/>
        </w:numPr>
        <w:autoSpaceDE w:val="0"/>
        <w:autoSpaceDN w:val="0"/>
        <w:adjustRightInd w:val="0"/>
        <w:rPr>
          <w:rFonts w:eastAsia="ArialMT" w:cs="Arial"/>
          <w:szCs w:val="22"/>
        </w:rPr>
      </w:pPr>
      <w:r w:rsidRPr="005E14A1">
        <w:rPr>
          <w:rFonts w:eastAsia="ArialMT" w:cs="Arial"/>
        </w:rPr>
        <w:t>50% of solid food</w:t>
      </w:r>
      <w:r w:rsidR="00DB1A35">
        <w:rPr>
          <w:rFonts w:eastAsia="ArialMT" w:cs="Arial"/>
        </w:rPr>
        <w:t>s</w:t>
      </w:r>
      <w:r w:rsidRPr="005E14A1">
        <w:rPr>
          <w:rFonts w:eastAsia="ArialMT" w:cs="Arial"/>
        </w:rPr>
        <w:t xml:space="preserve"> and 25% of non-milk beverages contain </w:t>
      </w:r>
      <w:r>
        <w:rPr>
          <w:szCs w:val="22"/>
        </w:rPr>
        <w:t>p</w:t>
      </w:r>
      <w:r w:rsidRPr="00A03BCD">
        <w:rPr>
          <w:szCs w:val="22"/>
        </w:rPr>
        <w:t>olygalacturonase</w:t>
      </w:r>
    </w:p>
    <w:p w14:paraId="7AF8F6F0" w14:textId="7E58E0F7" w:rsidR="006F54EF" w:rsidRPr="003E7428" w:rsidRDefault="006F54EF" w:rsidP="006F54EF">
      <w:pPr>
        <w:pStyle w:val="ListParagraph"/>
        <w:widowControl/>
        <w:numPr>
          <w:ilvl w:val="0"/>
          <w:numId w:val="1"/>
        </w:numPr>
        <w:autoSpaceDE w:val="0"/>
        <w:autoSpaceDN w:val="0"/>
        <w:adjustRightInd w:val="0"/>
        <w:rPr>
          <w:rFonts w:eastAsia="ArialMT" w:cs="Arial"/>
          <w:szCs w:val="22"/>
          <w:lang w:bidi="ar-SA"/>
        </w:rPr>
      </w:pPr>
      <w:r w:rsidRPr="003E7428">
        <w:rPr>
          <w:rFonts w:eastAsia="ArialMT" w:cs="Arial"/>
          <w:szCs w:val="22"/>
          <w:lang w:bidi="ar-SA"/>
        </w:rPr>
        <w:t xml:space="preserve">the maximum </w:t>
      </w:r>
      <w:r>
        <w:rPr>
          <w:szCs w:val="22"/>
        </w:rPr>
        <w:t>p</w:t>
      </w:r>
      <w:r w:rsidRPr="00A03BCD">
        <w:rPr>
          <w:szCs w:val="22"/>
        </w:rPr>
        <w:t>olygalacturonase</w:t>
      </w:r>
      <w:r w:rsidRPr="003E7428">
        <w:rPr>
          <w:rFonts w:eastAsia="ArialMT" w:cs="Arial"/>
          <w:szCs w:val="22"/>
          <w:lang w:bidi="ar-SA"/>
        </w:rPr>
        <w:t xml:space="preserve"> l</w:t>
      </w:r>
      <w:r>
        <w:rPr>
          <w:rFonts w:eastAsia="ArialMT" w:cs="Arial"/>
          <w:szCs w:val="22"/>
          <w:lang w:bidi="ar-SA"/>
        </w:rPr>
        <w:t>evel in final solid food</w:t>
      </w:r>
      <w:r w:rsidR="00DB1A35">
        <w:rPr>
          <w:rFonts w:eastAsia="ArialMT" w:cs="Arial"/>
          <w:szCs w:val="22"/>
          <w:lang w:bidi="ar-SA"/>
        </w:rPr>
        <w:t>s</w:t>
      </w:r>
      <w:r>
        <w:rPr>
          <w:rFonts w:eastAsia="ArialMT" w:cs="Arial"/>
          <w:szCs w:val="22"/>
          <w:lang w:bidi="ar-SA"/>
        </w:rPr>
        <w:t xml:space="preserve"> was 1.0</w:t>
      </w:r>
      <w:r w:rsidRPr="003E7428">
        <w:rPr>
          <w:rFonts w:eastAsia="ArialMT" w:cs="Arial"/>
          <w:szCs w:val="22"/>
          <w:lang w:bidi="ar-SA"/>
        </w:rPr>
        <w:t xml:space="preserve"> mg TOS/kg</w:t>
      </w:r>
      <w:r>
        <w:rPr>
          <w:rFonts w:eastAsia="ArialMT" w:cs="Arial"/>
          <w:szCs w:val="22"/>
          <w:lang w:bidi="ar-SA"/>
        </w:rPr>
        <w:t xml:space="preserve"> </w:t>
      </w:r>
      <w:r w:rsidRPr="003E7428">
        <w:rPr>
          <w:rFonts w:eastAsia="ArialMT" w:cs="Arial"/>
          <w:szCs w:val="22"/>
          <w:lang w:bidi="ar-SA"/>
        </w:rPr>
        <w:t>food and for non-milk beverage</w:t>
      </w:r>
      <w:r w:rsidR="00DB1A35">
        <w:rPr>
          <w:rFonts w:eastAsia="ArialMT" w:cs="Arial"/>
          <w:szCs w:val="22"/>
          <w:lang w:bidi="ar-SA"/>
        </w:rPr>
        <w:t>s</w:t>
      </w:r>
      <w:r w:rsidRPr="003E7428">
        <w:rPr>
          <w:rFonts w:eastAsia="ArialMT" w:cs="Arial"/>
          <w:szCs w:val="22"/>
          <w:lang w:bidi="ar-SA"/>
        </w:rPr>
        <w:t xml:space="preserve"> was </w:t>
      </w:r>
      <w:r>
        <w:rPr>
          <w:rFonts w:eastAsia="ArialMT" w:cs="Arial"/>
          <w:szCs w:val="22"/>
          <w:lang w:bidi="ar-SA"/>
        </w:rPr>
        <w:t>3.2</w:t>
      </w:r>
      <w:r w:rsidRPr="003E7428">
        <w:rPr>
          <w:rFonts w:eastAsia="ArialMT" w:cs="Arial"/>
          <w:szCs w:val="22"/>
          <w:lang w:bidi="ar-SA"/>
        </w:rPr>
        <w:t xml:space="preserve"> mg TOS/kg food (i.e. the highest use level</w:t>
      </w:r>
      <w:r>
        <w:rPr>
          <w:rFonts w:eastAsia="ArialMT" w:cs="Arial"/>
          <w:szCs w:val="22"/>
          <w:lang w:bidi="ar-SA"/>
        </w:rPr>
        <w:t xml:space="preserve"> </w:t>
      </w:r>
      <w:r w:rsidRPr="003E7428">
        <w:rPr>
          <w:rFonts w:eastAsia="ArialMT" w:cs="Arial"/>
          <w:szCs w:val="22"/>
          <w:lang w:bidi="ar-SA"/>
        </w:rPr>
        <w:t>from all uses within each group)</w:t>
      </w:r>
    </w:p>
    <w:p w14:paraId="3C26437C" w14:textId="77777777" w:rsidR="006F54EF" w:rsidRPr="005D1355" w:rsidRDefault="006F54EF" w:rsidP="006F54EF">
      <w:pPr>
        <w:pStyle w:val="FSBullet1"/>
        <w:ind w:left="502" w:hanging="360"/>
        <w:rPr>
          <w:szCs w:val="22"/>
        </w:rPr>
      </w:pPr>
      <w:r w:rsidRPr="005D1355">
        <w:rPr>
          <w:szCs w:val="22"/>
        </w:rPr>
        <w:t>all of the enzyme remains in the final food.</w:t>
      </w:r>
    </w:p>
    <w:p w14:paraId="22F7ADE9" w14:textId="77777777" w:rsidR="006F54EF" w:rsidRPr="005D1355" w:rsidRDefault="006F54EF" w:rsidP="006F54EF">
      <w:pPr>
        <w:rPr>
          <w:szCs w:val="22"/>
          <w:lang w:val="en-AU"/>
        </w:rPr>
      </w:pPr>
    </w:p>
    <w:p w14:paraId="12D79086" w14:textId="118D6714" w:rsidR="006F54EF" w:rsidRDefault="006F54EF" w:rsidP="006F54EF">
      <w:pPr>
        <w:rPr>
          <w:szCs w:val="22"/>
          <w:lang w:val="en-AU"/>
        </w:rPr>
      </w:pPr>
      <w:r w:rsidRPr="005D1355">
        <w:rPr>
          <w:szCs w:val="22"/>
          <w:lang w:val="en-AU"/>
        </w:rPr>
        <w:t>Based on these assumptions, t</w:t>
      </w:r>
      <w:r w:rsidRPr="005D1355">
        <w:rPr>
          <w:szCs w:val="22"/>
        </w:rPr>
        <w:t xml:space="preserve">he applicant </w:t>
      </w:r>
      <w:r w:rsidRPr="005D1355">
        <w:rPr>
          <w:szCs w:val="22"/>
          <w:lang w:val="en-AU"/>
        </w:rPr>
        <w:t xml:space="preserve">calculated the TMDI of </w:t>
      </w:r>
      <w:r>
        <w:rPr>
          <w:szCs w:val="22"/>
        </w:rPr>
        <w:t>p</w:t>
      </w:r>
      <w:r w:rsidRPr="00A03BCD">
        <w:rPr>
          <w:szCs w:val="22"/>
        </w:rPr>
        <w:t>olygalacturonase</w:t>
      </w:r>
      <w:r w:rsidRPr="005E14A1">
        <w:rPr>
          <w:szCs w:val="22"/>
        </w:rPr>
        <w:t xml:space="preserve"> </w:t>
      </w:r>
      <w:r w:rsidRPr="005D1355">
        <w:rPr>
          <w:szCs w:val="22"/>
          <w:lang w:val="en-AU"/>
        </w:rPr>
        <w:t xml:space="preserve">to be </w:t>
      </w:r>
      <w:r>
        <w:rPr>
          <w:szCs w:val="22"/>
          <w:lang w:val="en-AU"/>
        </w:rPr>
        <w:t>0.093</w:t>
      </w:r>
      <w:r w:rsidRPr="005D1355">
        <w:rPr>
          <w:szCs w:val="22"/>
          <w:lang w:val="en-AU"/>
        </w:rPr>
        <w:t xml:space="preserve"> mg TOS/kg body weight/day.</w:t>
      </w:r>
    </w:p>
    <w:p w14:paraId="72D02617" w14:textId="77777777" w:rsidR="006F54EF" w:rsidRPr="005D1355" w:rsidRDefault="006F54EF" w:rsidP="006F54EF">
      <w:pPr>
        <w:rPr>
          <w:szCs w:val="22"/>
          <w:lang w:val="en-AU"/>
        </w:rPr>
      </w:pPr>
    </w:p>
    <w:p w14:paraId="36523026" w14:textId="6F17C244" w:rsidR="006F54EF" w:rsidRPr="00712A63" w:rsidRDefault="006F54EF" w:rsidP="006F54EF">
      <w:pPr>
        <w:autoSpaceDE w:val="0"/>
        <w:autoSpaceDN w:val="0"/>
        <w:adjustRightInd w:val="0"/>
        <w:rPr>
          <w:rFonts w:eastAsia="ArialMT" w:cs="Arial"/>
          <w:szCs w:val="22"/>
        </w:rPr>
      </w:pPr>
      <w:r w:rsidRPr="00712A63">
        <w:rPr>
          <w:rFonts w:eastAsia="ArialMT" w:cs="Arial"/>
        </w:rPr>
        <w:t>As assumptions made by the applicant differ to thos</w:t>
      </w:r>
      <w:r>
        <w:rPr>
          <w:rFonts w:eastAsia="ArialMT" w:cs="Arial"/>
        </w:rPr>
        <w:t xml:space="preserve">e that FSANZ would have made in </w:t>
      </w:r>
      <w:r w:rsidRPr="00712A63">
        <w:rPr>
          <w:rFonts w:eastAsia="ArialMT" w:cs="Arial"/>
        </w:rPr>
        <w:t>applying the budget method, FSANZ independently calculat</w:t>
      </w:r>
      <w:r w:rsidR="00D1142E">
        <w:rPr>
          <w:rFonts w:eastAsia="ArialMT" w:cs="Arial"/>
        </w:rPr>
        <w:t>ed the TMDI</w:t>
      </w:r>
      <w:r>
        <w:rPr>
          <w:rFonts w:eastAsia="ArialMT" w:cs="Arial"/>
        </w:rPr>
        <w:t xml:space="preserve"> using the following </w:t>
      </w:r>
      <w:r w:rsidRPr="00712A63">
        <w:rPr>
          <w:rFonts w:eastAsia="ArialMT" w:cs="Arial"/>
        </w:rPr>
        <w:t>different assumptions that are conservative and reflective of a f</w:t>
      </w:r>
      <w:r>
        <w:rPr>
          <w:rFonts w:eastAsia="ArialMT" w:cs="Arial"/>
        </w:rPr>
        <w:t xml:space="preserve">irst tier in estimating dietary </w:t>
      </w:r>
      <w:r w:rsidRPr="00712A63">
        <w:rPr>
          <w:rFonts w:eastAsia="ArialMT" w:cs="Arial"/>
        </w:rPr>
        <w:t>exposure:</w:t>
      </w:r>
    </w:p>
    <w:p w14:paraId="0A0DFBF2" w14:textId="77777777" w:rsidR="006F54EF" w:rsidRPr="005D1355" w:rsidRDefault="006F54EF" w:rsidP="006F54EF">
      <w:pPr>
        <w:rPr>
          <w:szCs w:val="22"/>
        </w:rPr>
      </w:pPr>
    </w:p>
    <w:p w14:paraId="55873A18" w14:textId="1303D519" w:rsidR="006F54EF" w:rsidRPr="0097229C" w:rsidRDefault="006F54EF" w:rsidP="006F54EF">
      <w:pPr>
        <w:pStyle w:val="FSBullet1"/>
        <w:ind w:left="502" w:hanging="360"/>
        <w:rPr>
          <w:szCs w:val="22"/>
        </w:rPr>
      </w:pPr>
      <w:r w:rsidRPr="005D1355">
        <w:rPr>
          <w:szCs w:val="22"/>
        </w:rPr>
        <w:t>the maximum physiological requirement for solid food</w:t>
      </w:r>
      <w:r w:rsidR="00DB1A35">
        <w:rPr>
          <w:szCs w:val="22"/>
        </w:rPr>
        <w:t>s</w:t>
      </w:r>
      <w:r w:rsidRPr="005D1355">
        <w:rPr>
          <w:szCs w:val="22"/>
        </w:rPr>
        <w:t xml:space="preserve"> (including milk) is 50 g/kg body weight/day. This is the standard level used in a budget method calculation where there is potential for the enzyme to be in baby foods or general purpose foods that would be consumed by infants</w:t>
      </w:r>
      <w:r w:rsidR="00331F8F">
        <w:rPr>
          <w:szCs w:val="22"/>
        </w:rPr>
        <w:t xml:space="preserve"> </w:t>
      </w:r>
      <w:r w:rsidR="00331F8F" w:rsidRPr="0097229C">
        <w:rPr>
          <w:szCs w:val="22"/>
        </w:rPr>
        <w:t>(</w:t>
      </w:r>
      <w:r w:rsidR="00AC0AD1">
        <w:rPr>
          <w:szCs w:val="22"/>
        </w:rPr>
        <w:t>Hansen, 1966</w:t>
      </w:r>
      <w:r w:rsidR="00331F8F" w:rsidRPr="0097229C">
        <w:rPr>
          <w:szCs w:val="22"/>
        </w:rPr>
        <w:t>)</w:t>
      </w:r>
      <w:r w:rsidRPr="005D1355">
        <w:rPr>
          <w:szCs w:val="22"/>
        </w:rPr>
        <w:t>, whic</w:t>
      </w:r>
      <w:r>
        <w:rPr>
          <w:szCs w:val="22"/>
        </w:rPr>
        <w:t xml:space="preserve">h for this enzyme would be from </w:t>
      </w:r>
      <w:r w:rsidRPr="003E7428">
        <w:rPr>
          <w:szCs w:val="22"/>
        </w:rPr>
        <w:t>processed fruits and vegetables (</w:t>
      </w:r>
      <w:r>
        <w:rPr>
          <w:szCs w:val="22"/>
        </w:rPr>
        <w:t xml:space="preserve">e.g. </w:t>
      </w:r>
      <w:r w:rsidR="006842E6">
        <w:rPr>
          <w:szCs w:val="22"/>
        </w:rPr>
        <w:t xml:space="preserve">canned fruits, </w:t>
      </w:r>
      <w:r w:rsidRPr="003E7428">
        <w:rPr>
          <w:szCs w:val="22"/>
        </w:rPr>
        <w:t>canned vegetables and jams), soups, sauces, bouillons, dressings, condiments, snack foods, meat-derived foods and breads/crackers</w:t>
      </w:r>
      <w:r w:rsidR="00331F8F">
        <w:rPr>
          <w:szCs w:val="22"/>
        </w:rPr>
        <w:t>.</w:t>
      </w:r>
      <w:r w:rsidRPr="0097229C">
        <w:rPr>
          <w:szCs w:val="22"/>
        </w:rPr>
        <w:t xml:space="preserve"> </w:t>
      </w:r>
    </w:p>
    <w:p w14:paraId="3FCC99FD" w14:textId="77777777" w:rsidR="006F54EF" w:rsidRDefault="006F54EF" w:rsidP="006F54EF"/>
    <w:p w14:paraId="273C4EA3" w14:textId="77777777" w:rsidR="006F54EF" w:rsidRPr="00D02167" w:rsidRDefault="006F54EF" w:rsidP="006F54EF">
      <w:pPr>
        <w:pStyle w:val="ListParagraph"/>
        <w:numPr>
          <w:ilvl w:val="0"/>
          <w:numId w:val="1"/>
        </w:numPr>
        <w:autoSpaceDE w:val="0"/>
        <w:autoSpaceDN w:val="0"/>
        <w:adjustRightInd w:val="0"/>
        <w:rPr>
          <w:rFonts w:eastAsia="ArialMT" w:cs="Arial"/>
          <w:szCs w:val="22"/>
        </w:rPr>
      </w:pPr>
      <w:r w:rsidRPr="00D02167">
        <w:rPr>
          <w:rFonts w:eastAsia="ArialMT" w:cs="Arial"/>
          <w:szCs w:val="22"/>
        </w:rPr>
        <w:t>FSANZ would generally assume 12.5% of solid foods contain the enzyme based on</w:t>
      </w:r>
      <w:r>
        <w:rPr>
          <w:rFonts w:eastAsia="ArialMT" w:cs="Arial"/>
          <w:szCs w:val="22"/>
        </w:rPr>
        <w:t xml:space="preserve"> </w:t>
      </w:r>
      <w:r w:rsidRPr="00D02167">
        <w:rPr>
          <w:rFonts w:eastAsia="ArialMT" w:cs="Arial"/>
          <w:szCs w:val="22"/>
        </w:rPr>
        <w:t>commonly used default proportions noted in the FAO/WHO Environmental Health</w:t>
      </w:r>
      <w:r>
        <w:rPr>
          <w:rFonts w:eastAsia="ArialMT" w:cs="Arial"/>
          <w:szCs w:val="22"/>
        </w:rPr>
        <w:t xml:space="preserve"> </w:t>
      </w:r>
      <w:r w:rsidRPr="00D02167">
        <w:rPr>
          <w:rFonts w:eastAsia="ArialMT" w:cs="Arial"/>
          <w:szCs w:val="22"/>
        </w:rPr>
        <w:t>Criteria (EHC) 240 Chapter 6 on dietary exposure assessment (FAO/WHO 2009).</w:t>
      </w:r>
      <w:r>
        <w:rPr>
          <w:rFonts w:eastAsia="ArialMT" w:cs="Arial"/>
          <w:szCs w:val="22"/>
        </w:rPr>
        <w:t xml:space="preserve"> </w:t>
      </w:r>
      <w:r w:rsidRPr="00D02167">
        <w:rPr>
          <w:rFonts w:eastAsia="ArialMT" w:cs="Arial"/>
          <w:szCs w:val="22"/>
        </w:rPr>
        <w:t>However the applicant has assumed a higher proportion of 50% based on the nature</w:t>
      </w:r>
      <w:r>
        <w:rPr>
          <w:rFonts w:eastAsia="ArialMT" w:cs="Arial"/>
          <w:szCs w:val="22"/>
        </w:rPr>
        <w:t xml:space="preserve"> </w:t>
      </w:r>
      <w:r w:rsidRPr="00D02167">
        <w:rPr>
          <w:rFonts w:eastAsia="ArialMT" w:cs="Arial"/>
          <w:szCs w:val="22"/>
        </w:rPr>
        <w:t>and extent of use of the enzyme and therefore FSANZ has also used this proportion as</w:t>
      </w:r>
      <w:r>
        <w:rPr>
          <w:rFonts w:eastAsia="ArialMT" w:cs="Arial"/>
          <w:szCs w:val="22"/>
        </w:rPr>
        <w:t xml:space="preserve"> </w:t>
      </w:r>
      <w:r w:rsidRPr="00D02167">
        <w:rPr>
          <w:rFonts w:eastAsia="ArialMT" w:cs="Arial"/>
          <w:szCs w:val="22"/>
        </w:rPr>
        <w:t>a worst case scenario.</w:t>
      </w:r>
    </w:p>
    <w:p w14:paraId="4FA180E1" w14:textId="77777777" w:rsidR="006F54EF" w:rsidRPr="005D1355" w:rsidRDefault="006F54EF" w:rsidP="006F54EF">
      <w:pPr>
        <w:pStyle w:val="FSBullet2"/>
        <w:numPr>
          <w:ilvl w:val="0"/>
          <w:numId w:val="0"/>
        </w:numPr>
      </w:pPr>
    </w:p>
    <w:p w14:paraId="01DA2463" w14:textId="47B7424C" w:rsidR="006F54EF" w:rsidRDefault="006F54EF" w:rsidP="00D1142E">
      <w:pPr>
        <w:pStyle w:val="FSBullet2"/>
        <w:numPr>
          <w:ilvl w:val="0"/>
          <w:numId w:val="0"/>
        </w:numPr>
        <w:rPr>
          <w:rFonts w:eastAsia="ArialMT" w:cs="Arial"/>
        </w:rPr>
      </w:pPr>
      <w:r w:rsidRPr="00FE2954">
        <w:lastRenderedPageBreak/>
        <w:t xml:space="preserve">All other inputs and assumptions used by FSANZ remained as per those used by the applicant. </w:t>
      </w:r>
      <w:r w:rsidR="00D1142E">
        <w:rPr>
          <w:rFonts w:eastAsia="ArialMT" w:cs="Arial"/>
        </w:rPr>
        <w:t>The TMD</w:t>
      </w:r>
      <w:r w:rsidRPr="00FE2954">
        <w:rPr>
          <w:rFonts w:eastAsia="ArialMT" w:cs="Arial"/>
        </w:rPr>
        <w:t>I based on FSANZ’s calculations for solid food</w:t>
      </w:r>
      <w:r w:rsidR="00DB1A35">
        <w:rPr>
          <w:rFonts w:eastAsia="ArialMT" w:cs="Arial"/>
        </w:rPr>
        <w:t>s</w:t>
      </w:r>
      <w:r w:rsidRPr="00FE2954">
        <w:rPr>
          <w:rFonts w:eastAsia="ArialMT" w:cs="Arial"/>
        </w:rPr>
        <w:t xml:space="preserve"> and non-milk beverages were 0.025 mg TOS/kg body weight/day and 0.080 mg TOS/kg body weight/day respectively, </w:t>
      </w:r>
      <w:r w:rsidR="00331F8F">
        <w:rPr>
          <w:rFonts w:eastAsia="ArialMT" w:cs="Arial"/>
        </w:rPr>
        <w:t xml:space="preserve">resulting in </w:t>
      </w:r>
      <w:r w:rsidRPr="00FE2954">
        <w:rPr>
          <w:rFonts w:eastAsia="ArialMT" w:cs="Arial"/>
        </w:rPr>
        <w:t>a total of 0.105 mg TOS/kg bw/day.</w:t>
      </w:r>
    </w:p>
    <w:p w14:paraId="6C3AF8EF" w14:textId="196397D9" w:rsidR="006F54EF" w:rsidRDefault="006F54EF" w:rsidP="006F54EF">
      <w:pPr>
        <w:pStyle w:val="FSBullet2"/>
        <w:numPr>
          <w:ilvl w:val="0"/>
          <w:numId w:val="0"/>
        </w:numPr>
      </w:pPr>
    </w:p>
    <w:p w14:paraId="28B2ABFA" w14:textId="5251D97D" w:rsidR="006F54EF" w:rsidRPr="001D3EC2" w:rsidRDefault="006F54EF" w:rsidP="006F54EF">
      <w:pPr>
        <w:pStyle w:val="FSBullet2"/>
        <w:numPr>
          <w:ilvl w:val="0"/>
          <w:numId w:val="0"/>
        </w:numPr>
      </w:pPr>
      <w:r w:rsidRPr="001D3EC2">
        <w:t>Both the FSANZ and applicant</w:t>
      </w:r>
      <w:r w:rsidR="006045D0">
        <w:t>’</w:t>
      </w:r>
      <w:r w:rsidRPr="001D3EC2">
        <w:t>s estimates of the TMDI will be overestimates of the dietary exposure given the conservatisms in the budget method. This includes that it was assumed that the enzyme remains in the final foods and beverages</w:t>
      </w:r>
      <w:r w:rsidR="00331F8F">
        <w:t>. T</w:t>
      </w:r>
      <w:r w:rsidRPr="001D3EC2">
        <w:t xml:space="preserve">he applicant has stated that </w:t>
      </w:r>
      <w:r w:rsidR="00331F8F">
        <w:rPr>
          <w:rFonts w:cs="Arial"/>
        </w:rPr>
        <w:t>the enzyme</w:t>
      </w:r>
      <w:r w:rsidRPr="001D3EC2">
        <w:rPr>
          <w:rFonts w:cs="Arial"/>
        </w:rPr>
        <w:t xml:space="preserve"> is inactivated by heat or removed during </w:t>
      </w:r>
      <w:r>
        <w:rPr>
          <w:rFonts w:cs="Arial"/>
        </w:rPr>
        <w:t xml:space="preserve">further </w:t>
      </w:r>
      <w:r w:rsidR="00331F8F">
        <w:rPr>
          <w:rFonts w:cs="Arial"/>
        </w:rPr>
        <w:t>processing steps and does not have a function in the final food</w:t>
      </w:r>
      <w:r w:rsidR="00331F8F" w:rsidRPr="00720FAE">
        <w:rPr>
          <w:rFonts w:cs="Arial"/>
        </w:rPr>
        <w:t>.</w:t>
      </w:r>
    </w:p>
    <w:p w14:paraId="11A4A222" w14:textId="51326DD9" w:rsidR="0008655E" w:rsidRDefault="0008655E" w:rsidP="0008655E">
      <w:pPr>
        <w:pStyle w:val="Heading1"/>
        <w:tabs>
          <w:tab w:val="left" w:pos="5071"/>
        </w:tabs>
      </w:pPr>
      <w:bookmarkStart w:id="185" w:name="_Toc85204782"/>
      <w:bookmarkStart w:id="186" w:name="_Toc85211344"/>
      <w:bookmarkStart w:id="187" w:name="_Toc87259319"/>
      <w:bookmarkStart w:id="188" w:name="_Toc99464570"/>
      <w:bookmarkStart w:id="189" w:name="_Toc99458067"/>
      <w:bookmarkStart w:id="190" w:name="_Toc103671992"/>
      <w:r>
        <w:t>4</w:t>
      </w:r>
      <w:r>
        <w:tab/>
        <w:t>Discussion</w:t>
      </w:r>
      <w:bookmarkEnd w:id="185"/>
      <w:bookmarkEnd w:id="186"/>
      <w:bookmarkEnd w:id="187"/>
      <w:bookmarkEnd w:id="188"/>
      <w:bookmarkEnd w:id="189"/>
      <w:bookmarkEnd w:id="190"/>
    </w:p>
    <w:p w14:paraId="7741C4AC" w14:textId="1D729AEE" w:rsidR="00AB668A" w:rsidRPr="00EF13A6" w:rsidRDefault="00AB668A" w:rsidP="00396DD9">
      <w:pPr>
        <w:rPr>
          <w:lang w:bidi="ar-SA"/>
        </w:rPr>
      </w:pPr>
      <w:r w:rsidRPr="00EF13A6">
        <w:rPr>
          <w:lang w:bidi="ar-SA"/>
        </w:rPr>
        <w:t xml:space="preserve">AB Enzyme’s polygalacturonase </w:t>
      </w:r>
      <w:r w:rsidR="00C617C1" w:rsidRPr="00EF13A6">
        <w:rPr>
          <w:lang w:bidi="ar-SA"/>
        </w:rPr>
        <w:t xml:space="preserve">is produced by a genetically modified strain of </w:t>
      </w:r>
      <w:r w:rsidR="00353B1F">
        <w:rPr>
          <w:i/>
          <w:lang w:bidi="ar-SA"/>
        </w:rPr>
        <w:t>A.</w:t>
      </w:r>
      <w:r w:rsidR="00C617C1" w:rsidRPr="00EF13A6">
        <w:rPr>
          <w:i/>
          <w:lang w:bidi="ar-SA"/>
        </w:rPr>
        <w:t xml:space="preserve"> oryzae</w:t>
      </w:r>
      <w:r w:rsidR="00C617C1" w:rsidRPr="00EF13A6">
        <w:rPr>
          <w:lang w:bidi="ar-SA"/>
        </w:rPr>
        <w:t xml:space="preserve">. It </w:t>
      </w:r>
      <w:r w:rsidR="001C7BB2" w:rsidRPr="00EF13A6">
        <w:rPr>
          <w:lang w:bidi="ar-SA"/>
        </w:rPr>
        <w:t>is intended for use as a processing aid in the manufacture and/or processing of fruit and vegetable juices/products; and in the production of coffee, flavouring substances and wine.</w:t>
      </w:r>
    </w:p>
    <w:p w14:paraId="45FA7551" w14:textId="57AD97F1" w:rsidR="001C7BB2" w:rsidRPr="00EF13A6" w:rsidRDefault="001C7BB2" w:rsidP="00396DD9">
      <w:pPr>
        <w:rPr>
          <w:lang w:bidi="ar-SA"/>
        </w:rPr>
      </w:pPr>
    </w:p>
    <w:p w14:paraId="5E6860B0" w14:textId="369555F6" w:rsidR="00AB668A" w:rsidRPr="00EF13A6" w:rsidRDefault="001C7BB2" w:rsidP="00396DD9">
      <w:pPr>
        <w:rPr>
          <w:lang w:bidi="ar-SA"/>
        </w:rPr>
      </w:pPr>
      <w:r w:rsidRPr="00EF13A6">
        <w:rPr>
          <w:lang w:bidi="ar-SA"/>
        </w:rPr>
        <w:t xml:space="preserve">The production strain contains </w:t>
      </w:r>
      <w:r w:rsidR="00C617C1" w:rsidRPr="00EF13A6">
        <w:rPr>
          <w:lang w:bidi="ar-SA"/>
        </w:rPr>
        <w:t>an</w:t>
      </w:r>
      <w:r w:rsidRPr="00EF13A6">
        <w:rPr>
          <w:lang w:bidi="ar-SA"/>
        </w:rPr>
        <w:t xml:space="preserve"> </w:t>
      </w:r>
      <w:r w:rsidR="00C617C1" w:rsidRPr="00EF13A6">
        <w:rPr>
          <w:lang w:bidi="ar-SA"/>
        </w:rPr>
        <w:t>expression cassette—</w:t>
      </w:r>
      <w:r w:rsidRPr="00EF13A6">
        <w:rPr>
          <w:lang w:bidi="ar-SA"/>
        </w:rPr>
        <w:t xml:space="preserve">containing the polygalacturonase gene from </w:t>
      </w:r>
      <w:r w:rsidR="008B6655" w:rsidRPr="00EF13A6">
        <w:rPr>
          <w:i/>
          <w:lang w:bidi="ar-SA"/>
        </w:rPr>
        <w:t>A</w:t>
      </w:r>
      <w:r w:rsidR="008B6655">
        <w:rPr>
          <w:i/>
          <w:lang w:bidi="ar-SA"/>
        </w:rPr>
        <w:t>.</w:t>
      </w:r>
      <w:r w:rsidR="008B6655" w:rsidRPr="00EF13A6">
        <w:rPr>
          <w:i/>
          <w:lang w:bidi="ar-SA"/>
        </w:rPr>
        <w:t xml:space="preserve"> </w:t>
      </w:r>
      <w:r w:rsidRPr="00EF13A6">
        <w:rPr>
          <w:i/>
          <w:lang w:bidi="ar-SA"/>
        </w:rPr>
        <w:t>tubingensis</w:t>
      </w:r>
      <w:r w:rsidRPr="00EF13A6">
        <w:rPr>
          <w:lang w:bidi="ar-SA"/>
        </w:rPr>
        <w:t xml:space="preserve"> and the </w:t>
      </w:r>
      <w:r w:rsidRPr="00EF13A6">
        <w:rPr>
          <w:rFonts w:cs="Arial"/>
          <w:color w:val="000000"/>
          <w:szCs w:val="22"/>
        </w:rPr>
        <w:t>acetamidase gene from</w:t>
      </w:r>
      <w:r w:rsidRPr="00EF13A6">
        <w:rPr>
          <w:rFonts w:cs="Arial"/>
          <w:i/>
          <w:iCs/>
          <w:color w:val="000000"/>
          <w:szCs w:val="22"/>
        </w:rPr>
        <w:t xml:space="preserve"> </w:t>
      </w:r>
      <w:r w:rsidR="008B6655" w:rsidRPr="00EF13A6">
        <w:rPr>
          <w:rFonts w:cs="Arial"/>
          <w:i/>
          <w:iCs/>
          <w:color w:val="000000"/>
          <w:szCs w:val="22"/>
        </w:rPr>
        <w:t>A</w:t>
      </w:r>
      <w:r w:rsidR="008B6655">
        <w:rPr>
          <w:rFonts w:cs="Arial"/>
          <w:i/>
          <w:iCs/>
          <w:color w:val="000000"/>
          <w:szCs w:val="22"/>
        </w:rPr>
        <w:t>.</w:t>
      </w:r>
      <w:r w:rsidR="008B6655" w:rsidRPr="00EF13A6">
        <w:rPr>
          <w:rFonts w:cs="Arial"/>
          <w:i/>
          <w:iCs/>
          <w:color w:val="000000"/>
          <w:szCs w:val="22"/>
        </w:rPr>
        <w:t xml:space="preserve"> </w:t>
      </w:r>
      <w:r w:rsidRPr="00EF13A6">
        <w:rPr>
          <w:rFonts w:cs="Arial"/>
          <w:i/>
          <w:iCs/>
          <w:color w:val="000000"/>
          <w:szCs w:val="22"/>
        </w:rPr>
        <w:t>nidulans</w:t>
      </w:r>
      <w:r w:rsidRPr="00EF13A6">
        <w:rPr>
          <w:lang w:bidi="ar-SA"/>
        </w:rPr>
        <w:t xml:space="preserve"> as </w:t>
      </w:r>
      <w:r w:rsidR="00C617C1" w:rsidRPr="00EF13A6">
        <w:rPr>
          <w:lang w:bidi="ar-SA"/>
        </w:rPr>
        <w:t>a selectable marker—</w:t>
      </w:r>
      <w:r w:rsidRPr="00EF13A6">
        <w:rPr>
          <w:lang w:bidi="ar-SA"/>
        </w:rPr>
        <w:t>integrat</w:t>
      </w:r>
      <w:r w:rsidR="00C617C1" w:rsidRPr="00EF13A6">
        <w:rPr>
          <w:lang w:bidi="ar-SA"/>
        </w:rPr>
        <w:t>ed into its</w:t>
      </w:r>
      <w:r w:rsidRPr="00EF13A6">
        <w:rPr>
          <w:lang w:bidi="ar-SA"/>
        </w:rPr>
        <w:t xml:space="preserve"> genome</w:t>
      </w:r>
      <w:r w:rsidR="00C617C1" w:rsidRPr="00EF13A6">
        <w:rPr>
          <w:lang w:bidi="ar-SA"/>
        </w:rPr>
        <w:t>.</w:t>
      </w:r>
    </w:p>
    <w:p w14:paraId="5F239788" w14:textId="0CBC6BBC" w:rsidR="001C7BB2" w:rsidRPr="00EF13A6" w:rsidRDefault="001C7BB2" w:rsidP="00396DD9">
      <w:pPr>
        <w:rPr>
          <w:lang w:bidi="ar-SA"/>
        </w:rPr>
      </w:pPr>
    </w:p>
    <w:p w14:paraId="337DB1BC" w14:textId="15673086" w:rsidR="001C7BB2" w:rsidRPr="00EF13A6" w:rsidRDefault="00C617C1" w:rsidP="00396DD9">
      <w:pPr>
        <w:rPr>
          <w:lang w:bidi="ar-SA"/>
        </w:rPr>
      </w:pPr>
      <w:r w:rsidRPr="00EF13A6">
        <w:rPr>
          <w:lang w:bidi="ar-SA"/>
        </w:rPr>
        <w:t>The enzyme is produced by submerged fermentation of the production strain, followed by</w:t>
      </w:r>
      <w:r w:rsidR="00EF13A6" w:rsidRPr="00EF13A6">
        <w:rPr>
          <w:lang w:bidi="ar-SA"/>
        </w:rPr>
        <w:t xml:space="preserve"> recovery and clean-up from the fermentation medium in accordance with principles of </w:t>
      </w:r>
      <w:r w:rsidR="00FA6E05">
        <w:rPr>
          <w:lang w:bidi="ar-SA"/>
        </w:rPr>
        <w:t>c</w:t>
      </w:r>
      <w:r w:rsidR="00EF13A6" w:rsidRPr="00EF13A6">
        <w:rPr>
          <w:lang w:bidi="ar-SA"/>
        </w:rPr>
        <w:t>GMP and HACCP</w:t>
      </w:r>
      <w:r w:rsidRPr="00EF13A6">
        <w:rPr>
          <w:lang w:bidi="ar-SA"/>
        </w:rPr>
        <w:t>.</w:t>
      </w:r>
    </w:p>
    <w:p w14:paraId="1F058E4E" w14:textId="4E466313" w:rsidR="00EF13A6" w:rsidRPr="00875F42" w:rsidRDefault="00EF13A6" w:rsidP="00396DD9">
      <w:pPr>
        <w:rPr>
          <w:lang w:bidi="ar-SA"/>
        </w:rPr>
      </w:pPr>
    </w:p>
    <w:p w14:paraId="7028296C" w14:textId="5907DB72" w:rsidR="005F2FAC" w:rsidRDefault="005F2FAC" w:rsidP="005F2FAC">
      <w:pPr>
        <w:rPr>
          <w:lang w:bidi="ar-SA"/>
        </w:rPr>
      </w:pPr>
      <w:r>
        <w:rPr>
          <w:lang w:bidi="ar-SA"/>
        </w:rPr>
        <w:t xml:space="preserve">Evidence provided confirms that the production strain is neither pathogenic nor toxigenic, and </w:t>
      </w:r>
      <w:r w:rsidRPr="00E9527D">
        <w:rPr>
          <w:lang w:bidi="ar-SA"/>
        </w:rPr>
        <w:t xml:space="preserve">analysis of </w:t>
      </w:r>
      <w:r>
        <w:rPr>
          <w:lang w:bidi="ar-SA"/>
        </w:rPr>
        <w:t xml:space="preserve">the </w:t>
      </w:r>
      <w:r>
        <w:t xml:space="preserve">activity level of the </w:t>
      </w:r>
      <w:r w:rsidRPr="00EF13A6">
        <w:rPr>
          <w:lang w:bidi="ar-SA"/>
        </w:rPr>
        <w:t>polygalacturonase</w:t>
      </w:r>
      <w:r w:rsidRPr="001C43D5">
        <w:rPr>
          <w:szCs w:val="22"/>
        </w:rPr>
        <w:t xml:space="preserve"> </w:t>
      </w:r>
      <w:r>
        <w:t xml:space="preserve">enzyme in a number of fermentation batches over multiple generations </w:t>
      </w:r>
      <w:r>
        <w:rPr>
          <w:lang w:bidi="ar-SA"/>
        </w:rPr>
        <w:t>confirmed the presence and stability of the introduced DNA.</w:t>
      </w:r>
    </w:p>
    <w:p w14:paraId="01B97216" w14:textId="77777777" w:rsidR="00AB668A" w:rsidRPr="00C617C1" w:rsidRDefault="00AB668A" w:rsidP="00AB668A">
      <w:pPr>
        <w:rPr>
          <w:highlight w:val="yellow"/>
          <w:lang w:bidi="ar-SA"/>
        </w:rPr>
      </w:pPr>
    </w:p>
    <w:p w14:paraId="011C0C33" w14:textId="61023D38" w:rsidR="00875F42" w:rsidRPr="006F469F" w:rsidRDefault="00875F42" w:rsidP="00875F42">
      <w:pPr>
        <w:rPr>
          <w:szCs w:val="22"/>
          <w:lang w:bidi="ar-SA"/>
        </w:rPr>
      </w:pPr>
      <w:r w:rsidRPr="006F469F">
        <w:rPr>
          <w:szCs w:val="22"/>
          <w:lang w:bidi="ar-SA"/>
        </w:rPr>
        <w:t xml:space="preserve">Toxicity testing of the enzyme showed no evidence of genotoxicity </w:t>
      </w:r>
      <w:r w:rsidRPr="006F469F">
        <w:rPr>
          <w:i/>
          <w:szCs w:val="22"/>
          <w:lang w:bidi="ar-SA"/>
        </w:rPr>
        <w:t xml:space="preserve">in vitro. </w:t>
      </w:r>
      <w:r w:rsidRPr="006F469F">
        <w:rPr>
          <w:szCs w:val="22"/>
          <w:lang w:bidi="ar-SA"/>
        </w:rPr>
        <w:t xml:space="preserve">The NOAEL in a </w:t>
      </w:r>
      <w:r w:rsidR="00BB64F4">
        <w:rPr>
          <w:szCs w:val="22"/>
          <w:lang w:bidi="ar-SA"/>
        </w:rPr>
        <w:t>13-week</w:t>
      </w:r>
      <w:r w:rsidRPr="006F469F">
        <w:rPr>
          <w:szCs w:val="22"/>
          <w:lang w:bidi="ar-SA"/>
        </w:rPr>
        <w:t xml:space="preserve"> oral gavage study in rats was 1000 mg TOS/kg bw/day, which was the highest dose tested. The TMDI was calculated by FSANZ to be 0.105 mg</w:t>
      </w:r>
      <w:r w:rsidR="00353B1F">
        <w:rPr>
          <w:szCs w:val="22"/>
          <w:lang w:bidi="ar-SA"/>
        </w:rPr>
        <w:t xml:space="preserve"> TOS/kg bw/day</w:t>
      </w:r>
      <w:r w:rsidRPr="006F469F">
        <w:rPr>
          <w:szCs w:val="22"/>
          <w:lang w:bidi="ar-SA"/>
        </w:rPr>
        <w:t>. Comparison of the NOAEL and the TMDI gives a margin of exposure (MOE) of approximately 95</w:t>
      </w:r>
      <w:r w:rsidR="001D1BEF">
        <w:rPr>
          <w:szCs w:val="22"/>
          <w:lang w:bidi="ar-SA"/>
        </w:rPr>
        <w:t>00</w:t>
      </w:r>
      <w:r w:rsidRPr="006F469F">
        <w:rPr>
          <w:szCs w:val="22"/>
          <w:lang w:bidi="ar-SA"/>
        </w:rPr>
        <w:t>.</w:t>
      </w:r>
    </w:p>
    <w:p w14:paraId="2C0CA279" w14:textId="77777777" w:rsidR="00875F42" w:rsidRPr="006F469F" w:rsidRDefault="00875F42" w:rsidP="00875F42">
      <w:pPr>
        <w:rPr>
          <w:szCs w:val="22"/>
          <w:lang w:bidi="ar-SA"/>
        </w:rPr>
      </w:pPr>
    </w:p>
    <w:p w14:paraId="7BC1BA4C" w14:textId="077B5255" w:rsidR="00875F42" w:rsidRPr="006F469F" w:rsidRDefault="00875F42" w:rsidP="00875F42">
      <w:pPr>
        <w:rPr>
          <w:szCs w:val="22"/>
          <w:lang w:bidi="ar-SA"/>
        </w:rPr>
      </w:pPr>
      <w:r w:rsidRPr="006F469F">
        <w:rPr>
          <w:szCs w:val="22"/>
          <w:lang w:bidi="ar-SA"/>
        </w:rPr>
        <w:t xml:space="preserve">Bioinformatic analysis indicated that the enzyme shows no significant homology with any known toxins or venoms. A degree of homology between the enzyme and several pollen allergens was found. Taking into account that none of these allergens </w:t>
      </w:r>
      <w:r w:rsidR="002A4808">
        <w:rPr>
          <w:szCs w:val="22"/>
          <w:lang w:bidi="ar-SA"/>
        </w:rPr>
        <w:t xml:space="preserve">is a </w:t>
      </w:r>
      <w:r w:rsidRPr="006F469F">
        <w:rPr>
          <w:szCs w:val="22"/>
          <w:lang w:bidi="ar-SA"/>
        </w:rPr>
        <w:t>food allergen and that only low levels of the enzyme processing aid are expected to be present in final food products, the risk of food allergy from the proposed uses of the enzyme is likely to be low.</w:t>
      </w:r>
    </w:p>
    <w:p w14:paraId="7F46DA9C" w14:textId="1649AC0D" w:rsidR="0008655E" w:rsidRDefault="0008655E" w:rsidP="004A13AF">
      <w:pPr>
        <w:pStyle w:val="Heading1"/>
        <w:tabs>
          <w:tab w:val="left" w:pos="5071"/>
        </w:tabs>
        <w:rPr>
          <w:b w:val="0"/>
          <w:szCs w:val="36"/>
        </w:rPr>
      </w:pPr>
      <w:bookmarkStart w:id="191" w:name="_Toc87259320"/>
      <w:bookmarkStart w:id="192" w:name="_Toc99464571"/>
      <w:bookmarkStart w:id="193" w:name="_Toc99458068"/>
      <w:bookmarkStart w:id="194" w:name="_Toc103671993"/>
      <w:r w:rsidRPr="004A13AF">
        <w:t>5</w:t>
      </w:r>
      <w:r>
        <w:tab/>
      </w:r>
      <w:r w:rsidRPr="008B6CE4">
        <w:rPr>
          <w:szCs w:val="36"/>
        </w:rPr>
        <w:t>Conclusion</w:t>
      </w:r>
      <w:bookmarkEnd w:id="191"/>
      <w:bookmarkEnd w:id="192"/>
      <w:bookmarkEnd w:id="193"/>
      <w:bookmarkEnd w:id="194"/>
    </w:p>
    <w:p w14:paraId="33EFAB95" w14:textId="7166D52B" w:rsidR="001C7BB2" w:rsidRPr="00E73ECC" w:rsidRDefault="001C7BB2" w:rsidP="001C7BB2">
      <w:pPr>
        <w:rPr>
          <w:lang w:bidi="ar-SA"/>
        </w:rPr>
      </w:pPr>
      <w:r w:rsidRPr="00E73ECC">
        <w:rPr>
          <w:lang w:bidi="ar-SA"/>
        </w:rPr>
        <w:t>FSANZ concludes that the proposed use of this polygalacturonase is technologically justified and has been demonstrated to be effective in achieving its stated purpose. The applicant requested use at GMP</w:t>
      </w:r>
      <w:r w:rsidR="001D71B0">
        <w:rPr>
          <w:lang w:bidi="ar-SA"/>
        </w:rPr>
        <w:t xml:space="preserve"> levels</w:t>
      </w:r>
      <w:r w:rsidRPr="00E73ECC">
        <w:rPr>
          <w:lang w:bidi="ar-SA"/>
        </w:rPr>
        <w:t>.</w:t>
      </w:r>
    </w:p>
    <w:p w14:paraId="0C96306C" w14:textId="77777777" w:rsidR="001C7BB2" w:rsidRPr="00E73ECC" w:rsidRDefault="001C7BB2" w:rsidP="001C7BB2">
      <w:pPr>
        <w:rPr>
          <w:lang w:bidi="ar-SA"/>
        </w:rPr>
      </w:pPr>
    </w:p>
    <w:p w14:paraId="68E9D42D" w14:textId="2C0D7BB9" w:rsidR="00921D89" w:rsidRDefault="001C7BB2" w:rsidP="00921D89">
      <w:pPr>
        <w:rPr>
          <w:lang w:bidi="ar-SA"/>
        </w:rPr>
      </w:pPr>
      <w:r w:rsidRPr="00E73ECC">
        <w:rPr>
          <w:lang w:bidi="ar-SA"/>
        </w:rPr>
        <w:t>Polygalacturonase performs its technological purpose during the production of food and is not performing a technological purpose in the final food. It is</w:t>
      </w:r>
      <w:r w:rsidR="00A775FC">
        <w:rPr>
          <w:lang w:bidi="ar-SA"/>
        </w:rPr>
        <w:t>,</w:t>
      </w:r>
      <w:r w:rsidRPr="00E73ECC">
        <w:rPr>
          <w:lang w:bidi="ar-SA"/>
        </w:rPr>
        <w:t xml:space="preserve"> therefore</w:t>
      </w:r>
      <w:r w:rsidR="00A775FC">
        <w:rPr>
          <w:lang w:bidi="ar-SA"/>
        </w:rPr>
        <w:t>,</w:t>
      </w:r>
      <w:r w:rsidRPr="00E73ECC">
        <w:rPr>
          <w:lang w:bidi="ar-SA"/>
        </w:rPr>
        <w:t xml:space="preserve"> appropriately categorised as a processing aid as defined in the Code.</w:t>
      </w:r>
    </w:p>
    <w:p w14:paraId="1C5038A5" w14:textId="77777777" w:rsidR="00414794" w:rsidRDefault="00414794" w:rsidP="00921D89">
      <w:pPr>
        <w:rPr>
          <w:lang w:bidi="ar-SA"/>
        </w:rPr>
      </w:pPr>
    </w:p>
    <w:p w14:paraId="78BC32D4" w14:textId="3A5A7F3F" w:rsidR="001C7BB2" w:rsidRDefault="001C7BB2" w:rsidP="001C7BB2">
      <w:pPr>
        <w:rPr>
          <w:lang w:bidi="ar-SA"/>
        </w:rPr>
      </w:pPr>
      <w:r w:rsidRPr="00E73ECC">
        <w:rPr>
          <w:lang w:bidi="ar-SA"/>
        </w:rPr>
        <w:t>There are relevant identity and purity specifications for the enzyme in the Code and the applicant provided evidence that the enzyme meets these specifications.</w:t>
      </w:r>
    </w:p>
    <w:p w14:paraId="3CD060FD" w14:textId="0F78D05D" w:rsidR="002A5CA6" w:rsidRDefault="002A5CA6" w:rsidP="001C7BB2">
      <w:pPr>
        <w:rPr>
          <w:lang w:bidi="ar-SA"/>
        </w:rPr>
      </w:pPr>
    </w:p>
    <w:p w14:paraId="7384D595" w14:textId="5B40EA6D" w:rsidR="002A5CA6" w:rsidRPr="00E73ECC" w:rsidRDefault="002A5CA6" w:rsidP="002A5CA6">
      <w:pPr>
        <w:rPr>
          <w:lang w:bidi="ar-SA"/>
        </w:rPr>
      </w:pPr>
      <w:r w:rsidRPr="00E73ECC">
        <w:rPr>
          <w:lang w:bidi="ar-SA"/>
        </w:rPr>
        <w:lastRenderedPageBreak/>
        <w:t>The enzyme production strain</w:t>
      </w:r>
      <w:r>
        <w:rPr>
          <w:lang w:bidi="ar-SA"/>
        </w:rPr>
        <w:t xml:space="preserve"> </w:t>
      </w:r>
      <w:r w:rsidRPr="00E73ECC">
        <w:rPr>
          <w:i/>
          <w:lang w:bidi="ar-SA"/>
        </w:rPr>
        <w:t>A. oryzae</w:t>
      </w:r>
      <w:r w:rsidRPr="00E73ECC">
        <w:rPr>
          <w:lang w:bidi="ar-SA"/>
        </w:rPr>
        <w:t xml:space="preserve"> AR-183</w:t>
      </w:r>
      <w:r>
        <w:rPr>
          <w:lang w:bidi="ar-SA"/>
        </w:rPr>
        <w:t xml:space="preserve"> </w:t>
      </w:r>
      <w:r w:rsidRPr="00E73ECC">
        <w:rPr>
          <w:lang w:bidi="ar-SA"/>
        </w:rPr>
        <w:t xml:space="preserve">is non-pathogenic and non-toxigenic, and does not present an unacceptable food safety risk. No food safety hazard was identified in the isolation and use of the polygalacturonase gene from </w:t>
      </w:r>
      <w:r w:rsidRPr="00E73ECC">
        <w:rPr>
          <w:i/>
          <w:lang w:bidi="ar-SA"/>
        </w:rPr>
        <w:t>A. tubingensis</w:t>
      </w:r>
      <w:r w:rsidRPr="00E73ECC">
        <w:rPr>
          <w:lang w:bidi="ar-SA"/>
        </w:rPr>
        <w:t xml:space="preserve">, and there are no safety concerns with the use of the acetamidase selectable marker gene from </w:t>
      </w:r>
      <w:r w:rsidRPr="00E73ECC">
        <w:rPr>
          <w:i/>
          <w:lang w:bidi="ar-SA"/>
        </w:rPr>
        <w:t>A. nidulans</w:t>
      </w:r>
      <w:r w:rsidRPr="00E73ECC">
        <w:rPr>
          <w:lang w:bidi="ar-SA"/>
        </w:rPr>
        <w:t>.</w:t>
      </w:r>
    </w:p>
    <w:p w14:paraId="5BC8F16C" w14:textId="77777777" w:rsidR="001C7BB2" w:rsidRPr="00E73ECC" w:rsidRDefault="001C7BB2" w:rsidP="00AB668A">
      <w:pPr>
        <w:rPr>
          <w:lang w:bidi="ar-SA"/>
        </w:rPr>
      </w:pPr>
    </w:p>
    <w:p w14:paraId="2B2BE813" w14:textId="5881E8FC" w:rsidR="001C7BB2" w:rsidRPr="00E73ECC" w:rsidRDefault="00E73ECC" w:rsidP="00AB668A">
      <w:pPr>
        <w:rPr>
          <w:lang w:bidi="ar-SA"/>
        </w:rPr>
      </w:pPr>
      <w:r w:rsidRPr="00E73ECC">
        <w:rPr>
          <w:lang w:bidi="ar-SA"/>
        </w:rPr>
        <w:t>No public health and safety concerns were identified in the assessment of enzyme under the proposed use conditions. Based on the reviewed data it is concluded that, in the absence of any identifiable hazard, an ADI ‘not specified’ is appropriate.</w:t>
      </w:r>
    </w:p>
    <w:p w14:paraId="3D129085" w14:textId="77777777" w:rsidR="0008655E" w:rsidRDefault="0008655E" w:rsidP="0008655E">
      <w:pPr>
        <w:pStyle w:val="Heading1"/>
      </w:pPr>
      <w:bookmarkStart w:id="195" w:name="_Toc30154620"/>
      <w:bookmarkStart w:id="196" w:name="_Toc85204784"/>
      <w:bookmarkStart w:id="197" w:name="_Toc85211346"/>
      <w:bookmarkStart w:id="198" w:name="_Toc87259321"/>
      <w:bookmarkStart w:id="199" w:name="_Toc99464572"/>
      <w:bookmarkStart w:id="200" w:name="_Toc99458069"/>
      <w:bookmarkStart w:id="201" w:name="_Toc103671994"/>
      <w:r w:rsidRPr="00521FAD">
        <w:t xml:space="preserve">6 </w:t>
      </w:r>
      <w:r>
        <w:tab/>
        <w:t>References</w:t>
      </w:r>
      <w:bookmarkEnd w:id="195"/>
      <w:bookmarkEnd w:id="196"/>
      <w:bookmarkEnd w:id="197"/>
      <w:bookmarkEnd w:id="198"/>
      <w:bookmarkEnd w:id="199"/>
      <w:bookmarkEnd w:id="200"/>
      <w:bookmarkEnd w:id="201"/>
    </w:p>
    <w:p w14:paraId="3403CE07" w14:textId="5F5406AE" w:rsidR="00EC409E" w:rsidRDefault="00EC409E" w:rsidP="006F54EF">
      <w:pPr>
        <w:rPr>
          <w:rFonts w:cs="Arial"/>
          <w:szCs w:val="22"/>
        </w:rPr>
      </w:pPr>
      <w:r w:rsidRPr="00EC409E">
        <w:rPr>
          <w:rFonts w:cs="Arial"/>
          <w:szCs w:val="22"/>
        </w:rPr>
        <w:t>Barbesgaard P, Heldt-Hansen HP, Diderichsen B</w:t>
      </w:r>
      <w:r w:rsidR="008F5D91">
        <w:rPr>
          <w:rFonts w:cs="Arial"/>
          <w:szCs w:val="22"/>
        </w:rPr>
        <w:t xml:space="preserve"> (1992)</w:t>
      </w:r>
      <w:r w:rsidRPr="00EC409E">
        <w:rPr>
          <w:rFonts w:cs="Arial"/>
          <w:szCs w:val="22"/>
        </w:rPr>
        <w:t xml:space="preserve"> On the safety of </w:t>
      </w:r>
      <w:r w:rsidRPr="008F5D91">
        <w:rPr>
          <w:rFonts w:cs="Arial"/>
          <w:i/>
          <w:szCs w:val="22"/>
        </w:rPr>
        <w:t>Aspergillus oryzae</w:t>
      </w:r>
      <w:r w:rsidRPr="00EC409E">
        <w:rPr>
          <w:rFonts w:cs="Arial"/>
          <w:szCs w:val="22"/>
        </w:rPr>
        <w:t>: a re</w:t>
      </w:r>
      <w:r w:rsidR="008F5D91">
        <w:rPr>
          <w:rFonts w:cs="Arial"/>
          <w:szCs w:val="22"/>
        </w:rPr>
        <w:t>view. Appl Microbiol Biotechnol</w:t>
      </w:r>
      <w:r w:rsidRPr="00EC409E">
        <w:rPr>
          <w:rFonts w:cs="Arial"/>
          <w:szCs w:val="22"/>
        </w:rPr>
        <w:t xml:space="preserve"> </w:t>
      </w:r>
      <w:r w:rsidR="008F5D91">
        <w:rPr>
          <w:rFonts w:cs="Arial"/>
          <w:szCs w:val="22"/>
        </w:rPr>
        <w:t>36(5):569–72. DOI</w:t>
      </w:r>
      <w:r w:rsidRPr="00EC409E">
        <w:rPr>
          <w:rFonts w:cs="Arial"/>
          <w:szCs w:val="22"/>
        </w:rPr>
        <w:t>: 10.1007/BF00183230.</w:t>
      </w:r>
    </w:p>
    <w:p w14:paraId="3591332E" w14:textId="762C2BB4" w:rsidR="00441F31" w:rsidRDefault="00441F31" w:rsidP="006F54EF">
      <w:pPr>
        <w:rPr>
          <w:rFonts w:cs="Arial"/>
          <w:szCs w:val="22"/>
        </w:rPr>
      </w:pPr>
    </w:p>
    <w:p w14:paraId="0FC4BD11" w14:textId="6BC0BFE3" w:rsidR="00CF2640" w:rsidRPr="00BD777F" w:rsidRDefault="002F6477" w:rsidP="006F54EF">
      <w:pPr>
        <w:rPr>
          <w:rFonts w:cs="Arial"/>
          <w:szCs w:val="22"/>
        </w:rPr>
      </w:pPr>
      <w:r w:rsidRPr="00BD777F">
        <w:rPr>
          <w:rFonts w:cs="Arial"/>
          <w:szCs w:val="22"/>
        </w:rPr>
        <w:t>Bindslev-Jensen C; Skov PS, Roggen EL, Hvass, P and Brinch DS (2006) Investigation on possible allergenicity of 19 different commercial enzymes used in the food industry. Food Chem Toxicol 44 (11): 1909–1915. DOI: 10.1016/j.fct.2006.06.012.</w:t>
      </w:r>
    </w:p>
    <w:p w14:paraId="131B09A9" w14:textId="1371850B" w:rsidR="009A1F8E" w:rsidRDefault="009A1F8E" w:rsidP="006F54EF">
      <w:pPr>
        <w:rPr>
          <w:rFonts w:cs="Arial"/>
          <w:szCs w:val="22"/>
        </w:rPr>
      </w:pPr>
    </w:p>
    <w:p w14:paraId="4B08CCEB" w14:textId="0D525BBC" w:rsidR="00994F4B" w:rsidRPr="00994F4B" w:rsidRDefault="00994F4B" w:rsidP="00994F4B">
      <w:pPr>
        <w:rPr>
          <w:rFonts w:cs="Arial"/>
          <w:szCs w:val="22"/>
        </w:rPr>
      </w:pPr>
      <w:r w:rsidRPr="00994F4B">
        <w:rPr>
          <w:rFonts w:cs="Arial"/>
          <w:szCs w:val="22"/>
        </w:rPr>
        <w:t>Chang A, Jeske L, Ulbrich S, Hofmann J, Koblitz J, Schomburg I, Neumann-Schaal M, Jahn D, Schomburg D (2021) BRENDA, the ELIXIR core data resource in 2021: new developments and upda</w:t>
      </w:r>
      <w:r>
        <w:rPr>
          <w:rFonts w:cs="Arial"/>
          <w:szCs w:val="22"/>
        </w:rPr>
        <w:t>tes. Nucleic Acids Res. 49:D498–</w:t>
      </w:r>
      <w:r w:rsidRPr="00994F4B">
        <w:rPr>
          <w:rFonts w:cs="Arial"/>
          <w:szCs w:val="22"/>
        </w:rPr>
        <w:t>D508. DOI: 10.1093/nar/gkaa1025.</w:t>
      </w:r>
    </w:p>
    <w:p w14:paraId="21C5BB3A" w14:textId="0C28C21A" w:rsidR="009A1F8E" w:rsidRPr="00BD777F" w:rsidRDefault="009A1F8E" w:rsidP="006F54EF">
      <w:pPr>
        <w:rPr>
          <w:rFonts w:cs="Arial"/>
          <w:szCs w:val="22"/>
        </w:rPr>
      </w:pPr>
    </w:p>
    <w:p w14:paraId="5A9CC61F" w14:textId="1BE87064" w:rsidR="00362A00" w:rsidRPr="00BD777F" w:rsidRDefault="00362A00" w:rsidP="00362A00">
      <w:pPr>
        <w:widowControl/>
        <w:rPr>
          <w:rFonts w:cs="Arial"/>
          <w:szCs w:val="22"/>
        </w:rPr>
      </w:pPr>
      <w:r w:rsidRPr="00BD777F">
        <w:rPr>
          <w:rFonts w:cs="Arial"/>
          <w:szCs w:val="22"/>
        </w:rPr>
        <w:t>Damodaran S, Parkin KL, Fennema OR (2008) Fennema's Food Chemistry (4th ed). Boca Raton: CRC Press/Taylor &amp; Francis</w:t>
      </w:r>
      <w:r w:rsidR="00994F4B">
        <w:rPr>
          <w:rFonts w:cs="Arial"/>
          <w:szCs w:val="22"/>
        </w:rPr>
        <w:t>.</w:t>
      </w:r>
    </w:p>
    <w:p w14:paraId="4B00A1B2" w14:textId="77777777" w:rsidR="00362A00" w:rsidRPr="00BD777F" w:rsidRDefault="00362A00" w:rsidP="006F54EF">
      <w:pPr>
        <w:rPr>
          <w:rFonts w:cs="Arial"/>
          <w:szCs w:val="22"/>
        </w:rPr>
      </w:pPr>
    </w:p>
    <w:p w14:paraId="59000C6F" w14:textId="138C4D9E" w:rsidR="006F54EF" w:rsidRPr="00BD777F" w:rsidRDefault="006F54EF" w:rsidP="006F54EF">
      <w:pPr>
        <w:rPr>
          <w:rFonts w:cs="Arial"/>
          <w:szCs w:val="22"/>
          <w:lang w:bidi="ar-SA"/>
        </w:rPr>
      </w:pPr>
      <w:r w:rsidRPr="00BD777F">
        <w:rPr>
          <w:rFonts w:cs="Arial"/>
          <w:szCs w:val="22"/>
        </w:rPr>
        <w:t>Douglass JS, Barraj LM, Tennant DR, Long WR, Chaisson CF (1997) Evaluation of the Budget Method for screening food additive intakes. Food Ad</w:t>
      </w:r>
      <w:r w:rsidR="00994F4B">
        <w:rPr>
          <w:rFonts w:cs="Arial"/>
          <w:szCs w:val="22"/>
        </w:rPr>
        <w:t>dit Contam 14(8):791–</w:t>
      </w:r>
      <w:r w:rsidRPr="00BD777F">
        <w:rPr>
          <w:rFonts w:cs="Arial"/>
          <w:szCs w:val="22"/>
        </w:rPr>
        <w:t>802.</w:t>
      </w:r>
    </w:p>
    <w:p w14:paraId="71E9EEB7" w14:textId="63A337EC" w:rsidR="006F54EF" w:rsidRDefault="006F54EF" w:rsidP="006F54EF">
      <w:pPr>
        <w:rPr>
          <w:rFonts w:cs="Arial"/>
          <w:szCs w:val="22"/>
        </w:rPr>
      </w:pPr>
    </w:p>
    <w:p w14:paraId="47B4C4A1" w14:textId="77777777" w:rsidR="00364118" w:rsidRPr="00AE229F" w:rsidRDefault="00364118" w:rsidP="00364118">
      <w:pPr>
        <w:autoSpaceDE w:val="0"/>
        <w:autoSpaceDN w:val="0"/>
        <w:adjustRightInd w:val="0"/>
        <w:rPr>
          <w:szCs w:val="22"/>
        </w:rPr>
      </w:pPr>
      <w:r w:rsidRPr="00AE229F">
        <w:rPr>
          <w:rFonts w:cs="Arial"/>
          <w:szCs w:val="22"/>
        </w:rPr>
        <w:t xml:space="preserve">FAO/WHO (Food and Agriculture Organization of the United Nations/World Health Organization), 2006. General specifications and considerations for enzyme preparations used in food processing in Compendium of food additive specifications. 67th meeting. FAO JECFA Monographs, 3, 63–67. Available online: </w:t>
      </w:r>
      <w:hyperlink r:id="rId18" w:history="1">
        <w:r w:rsidRPr="00AE229F">
          <w:rPr>
            <w:rStyle w:val="Hyperlink"/>
            <w:szCs w:val="22"/>
          </w:rPr>
          <w:t>Compendium of Food Additive Specifications. Joint FAO/WHO Expert Committee on Food Additives (JECFA), 67th meeting 2006. FAO JECFA Monographs 3</w:t>
        </w:r>
      </w:hyperlink>
    </w:p>
    <w:p w14:paraId="06F88CA0" w14:textId="77777777" w:rsidR="00364118" w:rsidRPr="00BD777F" w:rsidRDefault="00364118" w:rsidP="006F54EF">
      <w:pPr>
        <w:rPr>
          <w:rFonts w:cs="Arial"/>
          <w:szCs w:val="22"/>
        </w:rPr>
      </w:pPr>
    </w:p>
    <w:p w14:paraId="3677CE01" w14:textId="77777777" w:rsidR="006F54EF" w:rsidRPr="00BD777F" w:rsidRDefault="006F54EF" w:rsidP="006F54EF">
      <w:pPr>
        <w:rPr>
          <w:rFonts w:cs="Arial"/>
          <w:color w:val="000000"/>
          <w:szCs w:val="22"/>
        </w:rPr>
      </w:pPr>
      <w:r w:rsidRPr="00BD777F">
        <w:rPr>
          <w:rFonts w:cs="Arial"/>
          <w:color w:val="000000"/>
          <w:szCs w:val="22"/>
        </w:rPr>
        <w:t>FAO/WHO (2009) Chapter 6: Dietary exposure assessment of chemicals in food. In: International Programme on Chemical Safety (IPCS). Environmental Health Criteria, No 240. Principles and methods for the risk assessment of chemicals in food. Rome: Food and Agriculture Organization of the United Nations (FAO) / Geneva: World Health Organization (WHO).</w:t>
      </w:r>
    </w:p>
    <w:p w14:paraId="04037EA9" w14:textId="48C5D439" w:rsidR="006F54EF" w:rsidRPr="00BD777F" w:rsidRDefault="006F54EF" w:rsidP="007E267F">
      <w:pPr>
        <w:rPr>
          <w:rFonts w:cs="Arial"/>
          <w:szCs w:val="22"/>
          <w:lang w:bidi="ar-SA"/>
        </w:rPr>
      </w:pPr>
    </w:p>
    <w:p w14:paraId="69C9563C" w14:textId="680EB69C" w:rsidR="00933C83" w:rsidRPr="00BD777F" w:rsidRDefault="00933C83" w:rsidP="00933C83">
      <w:pPr>
        <w:rPr>
          <w:rFonts w:cs="Arial"/>
          <w:szCs w:val="22"/>
          <w:lang w:bidi="ar-SA"/>
        </w:rPr>
      </w:pPr>
      <w:r w:rsidRPr="00BD777F">
        <w:rPr>
          <w:rFonts w:cs="Arial"/>
          <w:szCs w:val="22"/>
        </w:rPr>
        <w:t>FCC (2008). Enzyme preparations. In: Food Chemicals Codex, 6th edition. Rockville (MD): United States Ph</w:t>
      </w:r>
      <w:r w:rsidR="00994F4B">
        <w:rPr>
          <w:rFonts w:cs="Arial"/>
          <w:szCs w:val="22"/>
        </w:rPr>
        <w:t>armacopeial Convention, pp. 413–</w:t>
      </w:r>
      <w:r w:rsidRPr="00BD777F">
        <w:rPr>
          <w:rFonts w:cs="Arial"/>
          <w:szCs w:val="22"/>
        </w:rPr>
        <w:t>417.</w:t>
      </w:r>
    </w:p>
    <w:p w14:paraId="5AAD259F" w14:textId="3402A162" w:rsidR="00BD777F" w:rsidRDefault="00BD777F" w:rsidP="007E267F">
      <w:pPr>
        <w:rPr>
          <w:rFonts w:cs="Arial"/>
          <w:szCs w:val="22"/>
          <w:lang w:bidi="ar-SA"/>
        </w:rPr>
      </w:pPr>
    </w:p>
    <w:p w14:paraId="31EBC3DE" w14:textId="5C3922B7" w:rsidR="00921D89" w:rsidRDefault="000D7799" w:rsidP="00921D89">
      <w:pPr>
        <w:rPr>
          <w:rFonts w:cs="Arial"/>
          <w:color w:val="212121"/>
          <w:szCs w:val="22"/>
          <w:shd w:val="clear" w:color="auto" w:fill="FFFFFF"/>
        </w:rPr>
      </w:pPr>
      <w:r>
        <w:rPr>
          <w:rFonts w:cs="Arial"/>
          <w:szCs w:val="22"/>
          <w:lang w:bidi="ar-SA"/>
        </w:rPr>
        <w:t>Frisvad JC</w:t>
      </w:r>
      <w:r w:rsidRPr="000D7799">
        <w:rPr>
          <w:rFonts w:cs="Arial"/>
          <w:szCs w:val="22"/>
          <w:lang w:bidi="ar-SA"/>
        </w:rPr>
        <w:t>, Møller LLH, Larsen TO</w:t>
      </w:r>
      <w:r>
        <w:rPr>
          <w:rFonts w:cs="Arial"/>
          <w:szCs w:val="22"/>
          <w:lang w:bidi="ar-SA"/>
        </w:rPr>
        <w:t>,</w:t>
      </w:r>
      <w:r w:rsidRPr="000D7799">
        <w:rPr>
          <w:rFonts w:cs="Arial"/>
          <w:szCs w:val="22"/>
          <w:lang w:bidi="ar-SA"/>
        </w:rPr>
        <w:t xml:space="preserve"> Kumar</w:t>
      </w:r>
      <w:r>
        <w:rPr>
          <w:rFonts w:cs="Arial"/>
          <w:szCs w:val="22"/>
          <w:lang w:bidi="ar-SA"/>
        </w:rPr>
        <w:t xml:space="preserve"> R, </w:t>
      </w:r>
      <w:r w:rsidRPr="000D7799">
        <w:rPr>
          <w:rFonts w:cs="Arial"/>
          <w:szCs w:val="22"/>
          <w:lang w:bidi="ar-SA"/>
        </w:rPr>
        <w:t>Arnau</w:t>
      </w:r>
      <w:r>
        <w:rPr>
          <w:rFonts w:cs="Arial"/>
          <w:szCs w:val="22"/>
          <w:lang w:bidi="ar-SA"/>
        </w:rPr>
        <w:t xml:space="preserve"> J (2018)</w:t>
      </w:r>
      <w:r w:rsidRPr="000D7799">
        <w:rPr>
          <w:rFonts w:cs="Arial"/>
          <w:szCs w:val="22"/>
          <w:lang w:bidi="ar-SA"/>
        </w:rPr>
        <w:t xml:space="preserve"> Safety of the fungal workhorses of industrial biotechnology: update on the mycotoxin and secondary metabolite potential of </w:t>
      </w:r>
      <w:r w:rsidRPr="000D7799">
        <w:rPr>
          <w:rFonts w:cs="Arial"/>
          <w:i/>
          <w:szCs w:val="22"/>
          <w:lang w:bidi="ar-SA"/>
        </w:rPr>
        <w:t>Aspergillus niger</w:t>
      </w:r>
      <w:r w:rsidRPr="000D7799">
        <w:rPr>
          <w:rFonts w:cs="Arial"/>
          <w:szCs w:val="22"/>
          <w:lang w:bidi="ar-SA"/>
        </w:rPr>
        <w:t xml:space="preserve">, </w:t>
      </w:r>
      <w:r w:rsidRPr="000D7799">
        <w:rPr>
          <w:rFonts w:cs="Arial"/>
          <w:i/>
          <w:szCs w:val="22"/>
          <w:lang w:bidi="ar-SA"/>
        </w:rPr>
        <w:t>Aspergillus oryzae</w:t>
      </w:r>
      <w:r w:rsidRPr="000D7799">
        <w:rPr>
          <w:rFonts w:cs="Arial"/>
          <w:szCs w:val="22"/>
          <w:lang w:bidi="ar-SA"/>
        </w:rPr>
        <w:t xml:space="preserve">, and </w:t>
      </w:r>
      <w:r w:rsidRPr="000D7799">
        <w:rPr>
          <w:rFonts w:cs="Arial"/>
          <w:i/>
          <w:szCs w:val="22"/>
          <w:lang w:bidi="ar-SA"/>
        </w:rPr>
        <w:t>Trichoderma reesei</w:t>
      </w:r>
      <w:r w:rsidRPr="000D7799">
        <w:rPr>
          <w:rFonts w:cs="Arial"/>
          <w:szCs w:val="22"/>
          <w:lang w:bidi="ar-SA"/>
        </w:rPr>
        <w:t xml:space="preserve">. Appl Microbiol </w:t>
      </w:r>
      <w:r w:rsidR="00D67083">
        <w:rPr>
          <w:rFonts w:cs="Arial"/>
          <w:szCs w:val="22"/>
          <w:lang w:bidi="ar-SA"/>
        </w:rPr>
        <w:t>Biotechnol 102:9481–9515</w:t>
      </w:r>
      <w:r w:rsidRPr="000D7799">
        <w:rPr>
          <w:rFonts w:cs="Arial"/>
          <w:szCs w:val="22"/>
          <w:lang w:bidi="ar-SA"/>
        </w:rPr>
        <w:t xml:space="preserve">. </w:t>
      </w:r>
      <w:r w:rsidR="00D67083">
        <w:rPr>
          <w:rFonts w:cs="Arial"/>
          <w:szCs w:val="22"/>
          <w:lang w:bidi="ar-SA"/>
        </w:rPr>
        <w:t xml:space="preserve">DOI: </w:t>
      </w:r>
      <w:r w:rsidRPr="000D7799">
        <w:rPr>
          <w:rFonts w:cs="Arial"/>
          <w:szCs w:val="22"/>
          <w:lang w:bidi="ar-SA"/>
        </w:rPr>
        <w:t>10.1007/s00253-018-9354-1</w:t>
      </w:r>
      <w:r w:rsidR="00D67083">
        <w:rPr>
          <w:rFonts w:cs="Arial"/>
          <w:szCs w:val="22"/>
          <w:lang w:bidi="ar-SA"/>
        </w:rPr>
        <w:t>.</w:t>
      </w:r>
      <w:r w:rsidR="00921D89">
        <w:rPr>
          <w:rFonts w:cs="Arial"/>
          <w:color w:val="212121"/>
          <w:szCs w:val="22"/>
          <w:shd w:val="clear" w:color="auto" w:fill="FFFFFF"/>
        </w:rPr>
        <w:br w:type="page"/>
      </w:r>
    </w:p>
    <w:p w14:paraId="13EDA68A" w14:textId="6D500564" w:rsidR="008A6203" w:rsidRDefault="00BD777F" w:rsidP="008A6203">
      <w:pPr>
        <w:rPr>
          <w:rFonts w:cs="Arial"/>
          <w:color w:val="212121"/>
          <w:szCs w:val="22"/>
          <w:shd w:val="clear" w:color="auto" w:fill="FFFFFF"/>
        </w:rPr>
      </w:pPr>
      <w:r w:rsidRPr="00BD777F">
        <w:rPr>
          <w:rFonts w:cs="Arial"/>
          <w:color w:val="212121"/>
          <w:szCs w:val="22"/>
          <w:shd w:val="clear" w:color="auto" w:fill="FFFFFF"/>
        </w:rPr>
        <w:lastRenderedPageBreak/>
        <w:t xml:space="preserve">Gautier M, Normand AC, L'Ollivier C, Cassagne C, Reynaud-Gaubert M, Dubus JC, Brégeon F, Hendrickx M, Gomez C, Ranque S, Piarroux R (2016) </w:t>
      </w:r>
      <w:r w:rsidRPr="00BD777F">
        <w:rPr>
          <w:rFonts w:cs="Arial"/>
          <w:i/>
          <w:color w:val="212121"/>
          <w:szCs w:val="22"/>
          <w:shd w:val="clear" w:color="auto" w:fill="FFFFFF"/>
        </w:rPr>
        <w:t>Aspergillus tubingensis</w:t>
      </w:r>
      <w:r w:rsidRPr="00BD777F">
        <w:rPr>
          <w:rFonts w:cs="Arial"/>
          <w:color w:val="212121"/>
          <w:szCs w:val="22"/>
          <w:shd w:val="clear" w:color="auto" w:fill="FFFFFF"/>
        </w:rPr>
        <w:t>: a major filamentous fungus found in the airways of patients with lung disease.</w:t>
      </w:r>
      <w:r w:rsidR="00994F4B">
        <w:rPr>
          <w:rFonts w:cs="Arial"/>
          <w:color w:val="212121"/>
          <w:szCs w:val="22"/>
          <w:shd w:val="clear" w:color="auto" w:fill="FFFFFF"/>
        </w:rPr>
        <w:br/>
      </w:r>
      <w:r w:rsidRPr="00BD777F">
        <w:rPr>
          <w:rFonts w:cs="Arial"/>
          <w:color w:val="212121"/>
          <w:szCs w:val="22"/>
          <w:shd w:val="clear" w:color="auto" w:fill="FFFFFF"/>
        </w:rPr>
        <w:t>Med Mycol 54(5):459–70. DOI: 10.1093/mmy/myv118.</w:t>
      </w:r>
    </w:p>
    <w:p w14:paraId="090DF3B4" w14:textId="77777777" w:rsidR="00921D89" w:rsidRDefault="00921D89" w:rsidP="008A6203">
      <w:pPr>
        <w:rPr>
          <w:rFonts w:cs="Arial"/>
          <w:color w:val="212121"/>
          <w:szCs w:val="22"/>
          <w:shd w:val="clear" w:color="auto" w:fill="FFFFFF"/>
        </w:rPr>
      </w:pPr>
    </w:p>
    <w:p w14:paraId="2A31EE68" w14:textId="2CB5786B" w:rsidR="00CF2640" w:rsidRPr="00BD777F" w:rsidRDefault="00FB014B" w:rsidP="007E267F">
      <w:pPr>
        <w:rPr>
          <w:rFonts w:cs="Arial"/>
          <w:szCs w:val="22"/>
          <w:lang w:bidi="ar-SA"/>
        </w:rPr>
      </w:pPr>
      <w:r w:rsidRPr="00BD777F">
        <w:rPr>
          <w:rFonts w:cs="Arial"/>
          <w:szCs w:val="22"/>
          <w:lang w:bidi="ar-SA"/>
        </w:rPr>
        <w:t>Go</w:t>
      </w:r>
      <w:r w:rsidR="00994F4B">
        <w:rPr>
          <w:rFonts w:cs="Arial"/>
          <w:szCs w:val="22"/>
          <w:lang w:bidi="ar-SA"/>
        </w:rPr>
        <w:t>odman RE, Tetteh AO (2011)</w:t>
      </w:r>
      <w:r w:rsidRPr="00BD777F">
        <w:rPr>
          <w:rFonts w:cs="Arial"/>
          <w:szCs w:val="22"/>
          <w:lang w:bidi="ar-SA"/>
        </w:rPr>
        <w:t xml:space="preserve"> Suggested improvements for the allergenicity assessment of genetically modified plants used in foods. </w:t>
      </w:r>
      <w:r w:rsidR="00994F4B" w:rsidRPr="00994F4B">
        <w:rPr>
          <w:rFonts w:cs="Arial"/>
          <w:szCs w:val="22"/>
          <w:lang w:bidi="ar-SA"/>
        </w:rPr>
        <w:t>Curr Allergy Asthma Rep</w:t>
      </w:r>
      <w:r w:rsidR="00E23E12">
        <w:rPr>
          <w:rFonts w:cs="Arial"/>
          <w:szCs w:val="22"/>
          <w:lang w:bidi="ar-SA"/>
        </w:rPr>
        <w:t>.</w:t>
      </w:r>
      <w:r w:rsidR="00994F4B">
        <w:rPr>
          <w:rFonts w:cs="Arial"/>
          <w:szCs w:val="22"/>
          <w:lang w:bidi="ar-SA"/>
        </w:rPr>
        <w:t xml:space="preserve"> 11</w:t>
      </w:r>
      <w:r w:rsidRPr="00BD777F">
        <w:rPr>
          <w:rFonts w:cs="Arial"/>
          <w:szCs w:val="22"/>
          <w:lang w:bidi="ar-SA"/>
        </w:rPr>
        <w:t>(4</w:t>
      </w:r>
      <w:r w:rsidR="00994F4B">
        <w:rPr>
          <w:rFonts w:cs="Arial"/>
          <w:szCs w:val="22"/>
          <w:lang w:bidi="ar-SA"/>
        </w:rPr>
        <w:t>):317–324.</w:t>
      </w:r>
      <w:r w:rsidR="00994F4B">
        <w:rPr>
          <w:rFonts w:cs="Arial"/>
          <w:szCs w:val="22"/>
          <w:lang w:bidi="ar-SA"/>
        </w:rPr>
        <w:br/>
      </w:r>
      <w:r w:rsidRPr="00BD777F">
        <w:rPr>
          <w:rFonts w:cs="Arial"/>
          <w:szCs w:val="22"/>
          <w:lang w:bidi="ar-SA"/>
        </w:rPr>
        <w:t>DOI: 10.1007/s11882-011-0195-6.</w:t>
      </w:r>
    </w:p>
    <w:p w14:paraId="21632925" w14:textId="77777777" w:rsidR="00364118" w:rsidRDefault="00364118" w:rsidP="007E267F">
      <w:pPr>
        <w:rPr>
          <w:rFonts w:cs="Arial"/>
          <w:szCs w:val="22"/>
          <w:lang w:bidi="ar-SA"/>
        </w:rPr>
      </w:pPr>
    </w:p>
    <w:p w14:paraId="49C4D030" w14:textId="6C480134" w:rsidR="0092306E" w:rsidRDefault="007E267F" w:rsidP="007E267F">
      <w:pPr>
        <w:rPr>
          <w:rFonts w:cs="Arial"/>
          <w:szCs w:val="22"/>
          <w:lang w:bidi="ar-SA"/>
        </w:rPr>
      </w:pPr>
      <w:r w:rsidRPr="00BD777F">
        <w:rPr>
          <w:rFonts w:cs="Arial"/>
          <w:szCs w:val="22"/>
          <w:lang w:bidi="ar-SA"/>
        </w:rPr>
        <w:t xml:space="preserve">Gryshyna A, Kautto L, Peterson R, Nevalainen H (2016). On the safety of filamentous fungi with special emphasis on </w:t>
      </w:r>
      <w:r w:rsidRPr="00BD777F">
        <w:rPr>
          <w:rFonts w:cs="Arial"/>
          <w:i/>
          <w:szCs w:val="22"/>
          <w:lang w:bidi="ar-SA"/>
        </w:rPr>
        <w:t>Trichoderma reesei</w:t>
      </w:r>
      <w:r w:rsidRPr="00BD777F">
        <w:rPr>
          <w:rFonts w:cs="Arial"/>
          <w:szCs w:val="22"/>
          <w:lang w:bidi="ar-SA"/>
        </w:rPr>
        <w:t xml:space="preserve"> and products made by recombinant means. In M. Schmoll, C. Dattenböck (Eds.), Gene expression systems in fungi: advance</w:t>
      </w:r>
      <w:r w:rsidR="00994F4B">
        <w:rPr>
          <w:rFonts w:cs="Arial"/>
          <w:szCs w:val="22"/>
          <w:lang w:bidi="ar-SA"/>
        </w:rPr>
        <w:t>ments and applications (pp. 441–</w:t>
      </w:r>
      <w:r w:rsidRPr="00BD777F">
        <w:rPr>
          <w:rFonts w:cs="Arial"/>
          <w:szCs w:val="22"/>
          <w:lang w:bidi="ar-SA"/>
        </w:rPr>
        <w:t>457). (Fungal Biology-US). Cham: Springer, Springer Nature.</w:t>
      </w:r>
    </w:p>
    <w:p w14:paraId="2BC86283" w14:textId="4E41B4E0" w:rsidR="00933C83" w:rsidRPr="00BD777F" w:rsidRDefault="00933C83" w:rsidP="007E267F">
      <w:pPr>
        <w:rPr>
          <w:rFonts w:cs="Arial"/>
          <w:szCs w:val="22"/>
          <w:lang w:bidi="ar-SA"/>
        </w:rPr>
      </w:pPr>
    </w:p>
    <w:p w14:paraId="7371A834" w14:textId="705707AC" w:rsidR="00AC0AD1" w:rsidRDefault="00AC0AD1" w:rsidP="00560E57">
      <w:pPr>
        <w:rPr>
          <w:rFonts w:cs="Arial"/>
          <w:color w:val="000000"/>
        </w:rPr>
      </w:pPr>
      <w:r>
        <w:rPr>
          <w:rFonts w:cs="Arial"/>
          <w:color w:val="000000"/>
        </w:rPr>
        <w:t>Hansen SC (1966) Acceptable Daily Intake of Food Additives and Ceiling on Levels of Use. Food and Cosmetics Toxicology, 4: 427-432.</w:t>
      </w:r>
    </w:p>
    <w:p w14:paraId="0DAD2C28" w14:textId="77777777" w:rsidR="00AC0AD1" w:rsidRDefault="00AC0AD1" w:rsidP="00560E57">
      <w:pPr>
        <w:rPr>
          <w:rFonts w:cs="Arial"/>
          <w:color w:val="000000"/>
        </w:rPr>
      </w:pPr>
    </w:p>
    <w:p w14:paraId="11020EA4" w14:textId="32B610BF" w:rsidR="00560E57" w:rsidRPr="001C43D5" w:rsidRDefault="00560E57" w:rsidP="00560E57">
      <w:pPr>
        <w:rPr>
          <w:sz w:val="24"/>
          <w:lang w:eastAsia="en-AU" w:bidi="ar-SA"/>
        </w:rPr>
      </w:pPr>
      <w:r w:rsidRPr="001C43D5">
        <w:rPr>
          <w:szCs w:val="20"/>
        </w:rPr>
        <w:t xml:space="preserve">Kelly JM, Hynes MJ (1985) Transformation of </w:t>
      </w:r>
      <w:r w:rsidRPr="00243AD6">
        <w:rPr>
          <w:i/>
          <w:szCs w:val="20"/>
        </w:rPr>
        <w:t>Aspergillus niger</w:t>
      </w:r>
      <w:r w:rsidRPr="001C43D5">
        <w:rPr>
          <w:szCs w:val="20"/>
        </w:rPr>
        <w:t xml:space="preserve"> by the </w:t>
      </w:r>
      <w:r w:rsidRPr="00243AD6">
        <w:rPr>
          <w:i/>
          <w:szCs w:val="20"/>
        </w:rPr>
        <w:t>amd</w:t>
      </w:r>
      <w:r w:rsidRPr="00560E57">
        <w:rPr>
          <w:szCs w:val="20"/>
        </w:rPr>
        <w:t>S</w:t>
      </w:r>
      <w:r w:rsidRPr="001C43D5">
        <w:rPr>
          <w:szCs w:val="20"/>
        </w:rPr>
        <w:t xml:space="preserve"> gene of </w:t>
      </w:r>
      <w:r w:rsidRPr="00243AD6">
        <w:rPr>
          <w:i/>
          <w:szCs w:val="20"/>
        </w:rPr>
        <w:t>Aspergillus nidulans</w:t>
      </w:r>
      <w:r w:rsidRPr="001C43D5">
        <w:rPr>
          <w:szCs w:val="20"/>
        </w:rPr>
        <w:t>.</w:t>
      </w:r>
      <w:r>
        <w:rPr>
          <w:iCs/>
          <w:szCs w:val="20"/>
        </w:rPr>
        <w:t xml:space="preserve"> EMBO J</w:t>
      </w:r>
      <w:r w:rsidRPr="001C43D5">
        <w:rPr>
          <w:i/>
          <w:iCs/>
          <w:szCs w:val="20"/>
        </w:rPr>
        <w:t xml:space="preserve"> </w:t>
      </w:r>
      <w:r w:rsidRPr="001C43D5">
        <w:rPr>
          <w:szCs w:val="20"/>
        </w:rPr>
        <w:t>4(2):475–479</w:t>
      </w:r>
      <w:r>
        <w:rPr>
          <w:szCs w:val="20"/>
        </w:rPr>
        <w:t>.</w:t>
      </w:r>
    </w:p>
    <w:p w14:paraId="054D96EA" w14:textId="2A62391B" w:rsidR="006F54EF" w:rsidRPr="00BD777F" w:rsidRDefault="006F54EF" w:rsidP="0008655E">
      <w:pPr>
        <w:rPr>
          <w:rFonts w:cs="Arial"/>
          <w:szCs w:val="22"/>
          <w:lang w:eastAsia="en-AU" w:bidi="ar-SA"/>
        </w:rPr>
      </w:pPr>
    </w:p>
    <w:p w14:paraId="3F7E272A" w14:textId="107ABFCE" w:rsidR="00CF2640" w:rsidRPr="00BD777F" w:rsidRDefault="00A926B7" w:rsidP="0008655E">
      <w:pPr>
        <w:rPr>
          <w:rFonts w:cs="Arial"/>
          <w:bCs/>
          <w:szCs w:val="22"/>
          <w:lang w:eastAsia="en-AU" w:bidi="ar-SA"/>
        </w:rPr>
      </w:pPr>
      <w:r w:rsidRPr="00BD777F">
        <w:rPr>
          <w:rFonts w:cs="Arial"/>
          <w:bCs/>
          <w:szCs w:val="22"/>
          <w:lang w:eastAsia="en-AU" w:bidi="ar-SA"/>
        </w:rPr>
        <w:t xml:space="preserve">Ladics GS, Bannon, GA, Silvanovich A and </w:t>
      </w:r>
      <w:r w:rsidR="00BD777F">
        <w:rPr>
          <w:rFonts w:cs="Arial"/>
          <w:bCs/>
          <w:szCs w:val="22"/>
          <w:lang w:eastAsia="en-AU" w:bidi="ar-SA"/>
        </w:rPr>
        <w:t>Cressman RF (2007)</w:t>
      </w:r>
      <w:r w:rsidRPr="00BD777F">
        <w:rPr>
          <w:rFonts w:cs="Arial"/>
          <w:bCs/>
          <w:szCs w:val="22"/>
          <w:lang w:eastAsia="en-AU" w:bidi="ar-SA"/>
        </w:rPr>
        <w:t xml:space="preserve"> Comparison of conventional FASTA identity searches with the 80 amino acid sliding window FASTA search for the elucidation of potential identities to known allergens. Mol Nutr Food Res</w:t>
      </w:r>
      <w:r w:rsidR="00E23E12">
        <w:rPr>
          <w:rFonts w:cs="Arial"/>
          <w:bCs/>
          <w:szCs w:val="22"/>
          <w:lang w:eastAsia="en-AU" w:bidi="ar-SA"/>
        </w:rPr>
        <w:t>.</w:t>
      </w:r>
      <w:r w:rsidRPr="00BD777F">
        <w:rPr>
          <w:rFonts w:cs="Arial"/>
          <w:bCs/>
          <w:szCs w:val="22"/>
          <w:lang w:eastAsia="en-AU" w:bidi="ar-SA"/>
        </w:rPr>
        <w:t xml:space="preserve"> </w:t>
      </w:r>
      <w:r w:rsidR="00BD777F">
        <w:rPr>
          <w:rFonts w:cs="Arial"/>
          <w:bCs/>
          <w:szCs w:val="22"/>
          <w:lang w:eastAsia="en-AU" w:bidi="ar-SA"/>
        </w:rPr>
        <w:t>51</w:t>
      </w:r>
      <w:r w:rsidR="00560E57">
        <w:rPr>
          <w:rFonts w:cs="Arial"/>
          <w:bCs/>
          <w:szCs w:val="22"/>
          <w:lang w:eastAsia="en-AU" w:bidi="ar-SA"/>
        </w:rPr>
        <w:t>(8):</w:t>
      </w:r>
      <w:r w:rsidRPr="00BD777F">
        <w:rPr>
          <w:rFonts w:cs="Arial"/>
          <w:bCs/>
          <w:szCs w:val="22"/>
          <w:lang w:eastAsia="en-AU" w:bidi="ar-SA"/>
        </w:rPr>
        <w:t>985–998. DOI: 10.1002/mnfr.200600231.</w:t>
      </w:r>
    </w:p>
    <w:p w14:paraId="3B6A8AB7" w14:textId="4F8D1E20" w:rsidR="00A926B7" w:rsidRDefault="00A926B7" w:rsidP="0008655E">
      <w:pPr>
        <w:rPr>
          <w:rFonts w:cs="Arial"/>
          <w:szCs w:val="22"/>
          <w:lang w:eastAsia="en-AU" w:bidi="ar-SA"/>
        </w:rPr>
      </w:pPr>
    </w:p>
    <w:p w14:paraId="438FD6B5" w14:textId="77777777" w:rsidR="00560E57" w:rsidRDefault="00560E57" w:rsidP="00560E57">
      <w:pPr>
        <w:rPr>
          <w:rFonts w:cs="Arial"/>
          <w:szCs w:val="22"/>
          <w:lang w:eastAsia="en-AU" w:bidi="ar-SA"/>
        </w:rPr>
      </w:pPr>
      <w:r>
        <w:rPr>
          <w:rFonts w:cs="Arial"/>
          <w:szCs w:val="22"/>
          <w:lang w:eastAsia="en-AU" w:bidi="ar-SA"/>
        </w:rPr>
        <w:t>McDonald AG, Boyce S, Tipton KF (2009)</w:t>
      </w:r>
      <w:r w:rsidRPr="00243AD6">
        <w:rPr>
          <w:rFonts w:cs="Arial"/>
          <w:szCs w:val="22"/>
          <w:lang w:eastAsia="en-AU" w:bidi="ar-SA"/>
        </w:rPr>
        <w:t xml:space="preserve"> ExplorEnz: the primary source of the IUBMB enzy</w:t>
      </w:r>
      <w:r>
        <w:rPr>
          <w:rFonts w:cs="Arial"/>
          <w:szCs w:val="22"/>
          <w:lang w:eastAsia="en-AU" w:bidi="ar-SA"/>
        </w:rPr>
        <w:t>me list. Nucleic Acids Res 37:D593–D597 (2009). DOI: 10.1093/nar/gkn582.</w:t>
      </w:r>
    </w:p>
    <w:p w14:paraId="43F7311D" w14:textId="77777777" w:rsidR="00560E57" w:rsidRPr="00BD777F" w:rsidRDefault="00560E57" w:rsidP="0008655E">
      <w:pPr>
        <w:rPr>
          <w:rFonts w:cs="Arial"/>
          <w:szCs w:val="22"/>
          <w:lang w:eastAsia="en-AU" w:bidi="ar-SA"/>
        </w:rPr>
      </w:pPr>
    </w:p>
    <w:p w14:paraId="64FE3F8B" w14:textId="34D7503C" w:rsidR="00933C83" w:rsidRPr="00BD777F" w:rsidRDefault="00933C83" w:rsidP="00933C83">
      <w:pPr>
        <w:autoSpaceDE w:val="0"/>
        <w:autoSpaceDN w:val="0"/>
        <w:adjustRightInd w:val="0"/>
        <w:rPr>
          <w:rFonts w:cs="Arial"/>
          <w:szCs w:val="22"/>
          <w:lang w:val="en-US" w:eastAsia="en-GB"/>
        </w:rPr>
      </w:pPr>
      <w:r w:rsidRPr="00BD777F">
        <w:rPr>
          <w:rFonts w:cs="Arial"/>
          <w:szCs w:val="22"/>
          <w:lang w:val="en-US" w:eastAsia="en-GB"/>
        </w:rPr>
        <w:t>Nagod</w:t>
      </w:r>
      <w:r w:rsidR="00560E57">
        <w:rPr>
          <w:rFonts w:cs="Arial"/>
          <w:szCs w:val="22"/>
          <w:lang w:val="en-US" w:eastAsia="en-GB"/>
        </w:rPr>
        <w:t>awithana T,</w:t>
      </w:r>
      <w:r w:rsidRPr="00BD777F">
        <w:rPr>
          <w:rFonts w:cs="Arial"/>
          <w:szCs w:val="22"/>
          <w:lang w:val="en-US" w:eastAsia="en-GB"/>
        </w:rPr>
        <w:t xml:space="preserve"> Reed G (1993) Enzymes in Food Processing (3</w:t>
      </w:r>
      <w:r w:rsidRPr="00BD777F">
        <w:rPr>
          <w:rFonts w:cs="Arial"/>
          <w:szCs w:val="22"/>
          <w:vertAlign w:val="superscript"/>
          <w:lang w:val="en-US" w:eastAsia="en-GB"/>
        </w:rPr>
        <w:t>rd</w:t>
      </w:r>
      <w:r w:rsidRPr="00BD777F">
        <w:rPr>
          <w:rFonts w:cs="Arial"/>
          <w:szCs w:val="22"/>
          <w:lang w:val="en-US" w:eastAsia="en-GB"/>
        </w:rPr>
        <w:t xml:space="preserve"> ed.) Academic Press, Inc. London.</w:t>
      </w:r>
    </w:p>
    <w:p w14:paraId="23F5CDDF" w14:textId="77958FEA" w:rsidR="00BD777F" w:rsidRPr="00BD777F" w:rsidRDefault="00BD777F" w:rsidP="0008655E">
      <w:pPr>
        <w:rPr>
          <w:rFonts w:cs="Arial"/>
          <w:szCs w:val="22"/>
          <w:lang w:eastAsia="en-AU" w:bidi="ar-SA"/>
        </w:rPr>
      </w:pPr>
    </w:p>
    <w:p w14:paraId="3FBEF4ED" w14:textId="42EBA6CA" w:rsidR="00BD777F" w:rsidRPr="00BD777F" w:rsidRDefault="00BD777F" w:rsidP="0008655E">
      <w:pPr>
        <w:rPr>
          <w:rFonts w:cs="Arial"/>
          <w:szCs w:val="22"/>
          <w:lang w:eastAsia="en-AU" w:bidi="ar-SA"/>
        </w:rPr>
      </w:pPr>
      <w:r w:rsidRPr="00BD777F">
        <w:rPr>
          <w:rFonts w:cs="Arial"/>
          <w:color w:val="212121"/>
          <w:szCs w:val="22"/>
          <w:shd w:val="clear" w:color="auto" w:fill="FFFFFF"/>
        </w:rPr>
        <w:t>Sams</w:t>
      </w:r>
      <w:r>
        <w:rPr>
          <w:rFonts w:cs="Arial"/>
          <w:color w:val="212121"/>
          <w:szCs w:val="22"/>
          <w:shd w:val="clear" w:color="auto" w:fill="FFFFFF"/>
        </w:rPr>
        <w:t>on RA, Hong SB, Frisvad JC (2006)</w:t>
      </w:r>
      <w:r w:rsidRPr="00BD777F">
        <w:rPr>
          <w:rFonts w:cs="Arial"/>
          <w:color w:val="212121"/>
          <w:szCs w:val="22"/>
          <w:shd w:val="clear" w:color="auto" w:fill="FFFFFF"/>
        </w:rPr>
        <w:t xml:space="preserve"> Old and new concepts of species differentiation in </w:t>
      </w:r>
      <w:r w:rsidRPr="00BD777F">
        <w:rPr>
          <w:rFonts w:cs="Arial"/>
          <w:i/>
          <w:color w:val="212121"/>
          <w:szCs w:val="22"/>
          <w:shd w:val="clear" w:color="auto" w:fill="FFFFFF"/>
        </w:rPr>
        <w:t>Aspergillus</w:t>
      </w:r>
      <w:r w:rsidRPr="00BD777F">
        <w:rPr>
          <w:rFonts w:cs="Arial"/>
          <w:color w:val="212121"/>
          <w:szCs w:val="22"/>
          <w:shd w:val="clear" w:color="auto" w:fill="FFFFFF"/>
        </w:rPr>
        <w:t xml:space="preserve">. Med Mycol. </w:t>
      </w:r>
      <w:r>
        <w:rPr>
          <w:rFonts w:cs="Arial"/>
          <w:color w:val="212121"/>
          <w:szCs w:val="22"/>
          <w:shd w:val="clear" w:color="auto" w:fill="FFFFFF"/>
        </w:rPr>
        <w:t xml:space="preserve">44(Supplement 1):S133–S148. DOI: </w:t>
      </w:r>
      <w:r w:rsidRPr="00BD777F">
        <w:rPr>
          <w:rFonts w:cs="Arial"/>
          <w:color w:val="212121"/>
          <w:szCs w:val="22"/>
          <w:shd w:val="clear" w:color="auto" w:fill="FFFFFF"/>
        </w:rPr>
        <w:t>10.1080/13693780600913224.</w:t>
      </w:r>
    </w:p>
    <w:p w14:paraId="21913F6C" w14:textId="77777777" w:rsidR="00BD777F" w:rsidRPr="00BD777F" w:rsidRDefault="00BD777F" w:rsidP="0008655E">
      <w:pPr>
        <w:rPr>
          <w:rFonts w:cs="Arial"/>
          <w:szCs w:val="22"/>
          <w:lang w:eastAsia="en-AU" w:bidi="ar-SA"/>
        </w:rPr>
      </w:pPr>
    </w:p>
    <w:sectPr w:rsidR="00BD777F" w:rsidRPr="00BD777F" w:rsidSect="0054272D">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BD179" w14:textId="77777777" w:rsidR="008D7425" w:rsidRDefault="008D7425">
      <w:r>
        <w:separator/>
      </w:r>
    </w:p>
  </w:endnote>
  <w:endnote w:type="continuationSeparator" w:id="0">
    <w:p w14:paraId="246A9D81" w14:textId="77777777" w:rsidR="008D7425" w:rsidRDefault="008D7425">
      <w:r>
        <w:continuationSeparator/>
      </w:r>
    </w:p>
  </w:endnote>
  <w:endnote w:type="continuationNotice" w:id="1">
    <w:p w14:paraId="2C145408" w14:textId="77777777" w:rsidR="008D7425" w:rsidRDefault="008D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41DE" w14:textId="0E0CEACD" w:rsidR="0075123D" w:rsidRDefault="0075123D" w:rsidP="00F75AF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A18D2C9" w14:textId="77777777" w:rsidR="0075123D" w:rsidRDefault="0075123D" w:rsidP="00366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B866" w14:textId="69B52DA1" w:rsidR="0075123D" w:rsidRDefault="0075123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5746">
      <w:rPr>
        <w:rStyle w:val="PageNumber"/>
        <w:noProof/>
      </w:rPr>
      <w:t>i</w:t>
    </w:r>
    <w:r>
      <w:rPr>
        <w:rStyle w:val="PageNumber"/>
      </w:rPr>
      <w:fldChar w:fldCharType="end"/>
    </w:r>
  </w:p>
  <w:p w14:paraId="336EEBE9" w14:textId="77777777" w:rsidR="0075123D" w:rsidRDefault="0075123D" w:rsidP="00366C7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2AC8" w14:textId="03C81E77" w:rsidR="0075123D" w:rsidRDefault="0075123D" w:rsidP="00F75AF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1C142CD" w14:textId="77777777" w:rsidR="0075123D" w:rsidRDefault="0075123D" w:rsidP="00366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299275"/>
      <w:docPartObj>
        <w:docPartGallery w:val="Page Numbers (Bottom of Page)"/>
        <w:docPartUnique/>
      </w:docPartObj>
    </w:sdtPr>
    <w:sdtEndPr>
      <w:rPr>
        <w:noProof/>
      </w:rPr>
    </w:sdtEndPr>
    <w:sdtContent>
      <w:p w14:paraId="13C0A4DC" w14:textId="2FDE6C91" w:rsidR="0075123D" w:rsidRDefault="0075123D">
        <w:pPr>
          <w:pStyle w:val="Footer"/>
          <w:jc w:val="center"/>
        </w:pPr>
        <w:r>
          <w:fldChar w:fldCharType="begin"/>
        </w:r>
        <w:r>
          <w:instrText xml:space="preserve"> PAGE   \* MERGEFORMAT </w:instrText>
        </w:r>
        <w:r>
          <w:fldChar w:fldCharType="separate"/>
        </w:r>
        <w:r w:rsidR="004D5746">
          <w:rPr>
            <w:noProof/>
          </w:rPr>
          <w:t>14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87E5" w14:textId="0F8114CD" w:rsidR="0075123D" w:rsidRPr="00366C78" w:rsidRDefault="0075123D" w:rsidP="00366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F7310" w14:textId="77777777" w:rsidR="008D7425" w:rsidRDefault="008D7425">
      <w:r>
        <w:separator/>
      </w:r>
    </w:p>
  </w:footnote>
  <w:footnote w:type="continuationSeparator" w:id="0">
    <w:p w14:paraId="2706342A" w14:textId="77777777" w:rsidR="008D7425" w:rsidRDefault="008D7425">
      <w:r>
        <w:continuationSeparator/>
      </w:r>
    </w:p>
  </w:footnote>
  <w:footnote w:type="continuationNotice" w:id="1">
    <w:p w14:paraId="4BE87FB6" w14:textId="77777777" w:rsidR="008D7425" w:rsidRDefault="008D7425"/>
  </w:footnote>
  <w:footnote w:id="2">
    <w:p w14:paraId="5CFEAE80" w14:textId="03D26AA1" w:rsidR="0075123D" w:rsidRPr="00ED6A51" w:rsidRDefault="0075123D">
      <w:pPr>
        <w:pStyle w:val="FootnoteText"/>
        <w:rPr>
          <w:lang w:val="en-AU"/>
        </w:rPr>
      </w:pPr>
      <w:r>
        <w:rPr>
          <w:rStyle w:val="FootnoteReference"/>
        </w:rPr>
        <w:footnoteRef/>
      </w:r>
      <w:r>
        <w:t xml:space="preserve"> </w:t>
      </w:r>
      <w:r>
        <w:rPr>
          <w:lang w:val="en-AU"/>
        </w:rPr>
        <w:t>TOS: Total organic solids.</w:t>
      </w:r>
    </w:p>
  </w:footnote>
  <w:footnote w:id="3">
    <w:p w14:paraId="1C66CAA6" w14:textId="067E9617" w:rsidR="0075123D" w:rsidRPr="00994F4B" w:rsidRDefault="0075123D">
      <w:pPr>
        <w:pStyle w:val="FootnoteText"/>
        <w:rPr>
          <w:lang w:val="en-AU"/>
        </w:rPr>
      </w:pPr>
      <w:r>
        <w:rPr>
          <w:rStyle w:val="FootnoteReference"/>
        </w:rPr>
        <w:footnoteRef/>
      </w:r>
      <w:r>
        <w:t xml:space="preserve"> </w:t>
      </w:r>
      <w:r w:rsidRPr="008B2780">
        <w:t>International Union of Biochemistry and Molecular Biology</w:t>
      </w:r>
    </w:p>
  </w:footnote>
  <w:footnote w:id="4">
    <w:p w14:paraId="34458E16" w14:textId="14A941A4" w:rsidR="0075123D" w:rsidRPr="00994F4B" w:rsidRDefault="0075123D">
      <w:pPr>
        <w:pStyle w:val="FootnoteText"/>
        <w:rPr>
          <w:lang w:val="en-AU"/>
        </w:rPr>
      </w:pPr>
      <w:r>
        <w:rPr>
          <w:rStyle w:val="FootnoteReference"/>
        </w:rPr>
        <w:footnoteRef/>
      </w:r>
      <w:r>
        <w:t xml:space="preserve"> </w:t>
      </w:r>
      <w:hyperlink r:id="rId1" w:history="1">
        <w:r w:rsidRPr="006A6F3C">
          <w:rPr>
            <w:rStyle w:val="Hyperlink"/>
          </w:rPr>
          <w:t>www.brenda-enzymes.org/enzyme.php?ecno=3.2.1.15</w:t>
        </w:r>
      </w:hyperlink>
    </w:p>
  </w:footnote>
  <w:footnote w:id="5">
    <w:p w14:paraId="586C9ADD" w14:textId="6099C7F2" w:rsidR="0075123D" w:rsidRPr="003A5307" w:rsidRDefault="0075123D">
      <w:pPr>
        <w:pStyle w:val="FootnoteText"/>
        <w:rPr>
          <w:lang w:val="en-AU"/>
        </w:rPr>
      </w:pPr>
      <w:r>
        <w:rPr>
          <w:rStyle w:val="FootnoteReference"/>
        </w:rPr>
        <w:footnoteRef/>
      </w:r>
      <w:r>
        <w:t xml:space="preserve"> </w:t>
      </w:r>
      <w:r>
        <w:rPr>
          <w:lang w:eastAsia="en-AU" w:bidi="ar-SA"/>
        </w:rPr>
        <w:t>Enzymes are generally sold as enzyme preparations, which consist of the enzyme(s) and other ingredients, to facilitate their storage, sale, standardisation, dilution or dissolution.</w:t>
      </w:r>
    </w:p>
  </w:footnote>
  <w:footnote w:id="6">
    <w:p w14:paraId="4B0CD212" w14:textId="179A3521" w:rsidR="0075123D" w:rsidRPr="00A212A3" w:rsidRDefault="0075123D">
      <w:pPr>
        <w:pStyle w:val="FootnoteText"/>
        <w:rPr>
          <w:lang w:val="en-AU"/>
        </w:rPr>
      </w:pPr>
      <w:r>
        <w:rPr>
          <w:rStyle w:val="FootnoteReference"/>
        </w:rPr>
        <w:footnoteRef/>
      </w:r>
      <w:r>
        <w:t xml:space="preserve"> </w:t>
      </w:r>
      <w:r>
        <w:rPr>
          <w:lang w:val="en-AU"/>
        </w:rPr>
        <w:t xml:space="preserve">known as cGMP, as distinct from GMP (which refers to the level of use of the enzyme) </w:t>
      </w:r>
    </w:p>
  </w:footnote>
  <w:footnote w:id="7">
    <w:p w14:paraId="5D4107E8" w14:textId="192F4A54" w:rsidR="0075123D" w:rsidRPr="00DA4BD8" w:rsidRDefault="0075123D">
      <w:pPr>
        <w:pStyle w:val="FootnoteText"/>
        <w:rPr>
          <w:lang w:val="en-AU"/>
        </w:rPr>
      </w:pPr>
      <w:r>
        <w:rPr>
          <w:rStyle w:val="FootnoteReference"/>
        </w:rPr>
        <w:footnoteRef/>
      </w:r>
      <w:r>
        <w:t xml:space="preserve"> </w:t>
      </w:r>
      <w:hyperlink r:id="rId2" w:history="1">
        <w:r w:rsidRPr="007840BE">
          <w:rPr>
            <w:rStyle w:val="Hyperlink"/>
          </w:rPr>
          <w:t>www.bvl.bund.de/SharedDocs/Downloads/06_Gentechnik/register_datenbanken/organismenliste_xls.html;jsessionid=F8D7A39D1FED4DD1FA972AA6A8FEC7F6.1_cid363</w:t>
        </w:r>
      </w:hyperlink>
    </w:p>
  </w:footnote>
  <w:footnote w:id="8">
    <w:p w14:paraId="265FC8D2" w14:textId="419F9244" w:rsidR="0075123D" w:rsidRPr="008B6CE4" w:rsidRDefault="0075123D">
      <w:pPr>
        <w:pStyle w:val="FootnoteText"/>
        <w:rPr>
          <w:lang w:val="en-AU"/>
        </w:rPr>
      </w:pPr>
      <w:r>
        <w:rPr>
          <w:rStyle w:val="FootnoteReference"/>
        </w:rPr>
        <w:footnoteRef/>
      </w:r>
      <w:r>
        <w:t xml:space="preserve"> </w:t>
      </w:r>
      <w:r>
        <w:rPr>
          <w:lang w:val="en-AU"/>
        </w:rPr>
        <w:t>TOS = Total Organic Solids</w:t>
      </w:r>
    </w:p>
  </w:footnote>
  <w:footnote w:id="9">
    <w:p w14:paraId="42873E37" w14:textId="76FD210C" w:rsidR="0075123D" w:rsidRPr="00CE4B9B" w:rsidRDefault="0075123D">
      <w:pPr>
        <w:pStyle w:val="FootnoteText"/>
        <w:rPr>
          <w:lang w:val="en-AU"/>
        </w:rPr>
      </w:pPr>
      <w:r>
        <w:rPr>
          <w:rStyle w:val="FootnoteReference"/>
        </w:rPr>
        <w:footnoteRef/>
      </w:r>
      <w:r>
        <w:t xml:space="preserve"> </w:t>
      </w:r>
      <w:hyperlink r:id="rId3" w:history="1">
        <w:r w:rsidRPr="009729AE">
          <w:rPr>
            <w:rStyle w:val="Hyperlink"/>
            <w:lang w:val="en-AU"/>
          </w:rPr>
          <w:t>http://allergenonline.org</w:t>
        </w:r>
      </w:hyperlink>
      <w:r>
        <w:rPr>
          <w:lang w:val="en-AU"/>
        </w:rPr>
        <w:t xml:space="preserve"> </w:t>
      </w:r>
    </w:p>
  </w:footnote>
  <w:footnote w:id="10">
    <w:p w14:paraId="1B9B0C46" w14:textId="1EEB0E96" w:rsidR="0075123D" w:rsidRPr="00CE4B9B" w:rsidRDefault="0075123D">
      <w:pPr>
        <w:pStyle w:val="FootnoteText"/>
        <w:rPr>
          <w:lang w:val="en-AU"/>
        </w:rPr>
      </w:pPr>
      <w:r>
        <w:rPr>
          <w:rStyle w:val="FootnoteReference"/>
        </w:rPr>
        <w:footnoteRef/>
      </w:r>
      <w:r>
        <w:t xml:space="preserve"> </w:t>
      </w:r>
      <w:hyperlink r:id="rId4" w:history="1">
        <w:r w:rsidRPr="009729AE">
          <w:rPr>
            <w:rStyle w:val="Hyperlink"/>
          </w:rPr>
          <w:t>https://fermi.utmb.edu/</w:t>
        </w:r>
      </w:hyperlink>
      <w:r>
        <w:t xml:space="preserve"> </w:t>
      </w:r>
    </w:p>
  </w:footnote>
  <w:footnote w:id="11">
    <w:p w14:paraId="17E64DEB" w14:textId="41009525" w:rsidR="0075123D" w:rsidRPr="00236340" w:rsidRDefault="0075123D">
      <w:pPr>
        <w:pStyle w:val="FootnoteText"/>
        <w:rPr>
          <w:lang w:val="en-AU"/>
        </w:rPr>
      </w:pPr>
      <w:r>
        <w:rPr>
          <w:rStyle w:val="FootnoteReference"/>
        </w:rPr>
        <w:footnoteRef/>
      </w:r>
      <w:r>
        <w:t xml:space="preserve"> </w:t>
      </w:r>
      <w:r w:rsidRPr="00E36199">
        <w:t>The E</w:t>
      </w:r>
      <w:r>
        <w:t>-</w:t>
      </w:r>
      <w:r w:rsidRPr="00E36199">
        <w:t>value (or Expect value) indicates the significance of a match found when searching a sequence database. The closer an E</w:t>
      </w:r>
      <w:r>
        <w:t>-</w:t>
      </w:r>
      <w:r w:rsidRPr="00E36199">
        <w:t xml:space="preserve">value </w:t>
      </w:r>
      <w:r>
        <w:t>approaches</w:t>
      </w:r>
      <w:r w:rsidRPr="00E36199">
        <w:t xml:space="preserve"> zero, the less likely an alignment could have been produced by chance.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04DB" w14:textId="00267E9D" w:rsidR="0075123D" w:rsidRDefault="0075123D">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C909" w14:textId="3599D368" w:rsidR="0075123D" w:rsidRPr="00366C78" w:rsidRDefault="0075123D" w:rsidP="00366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9625" w14:textId="417E75AB" w:rsidR="0075123D" w:rsidRPr="00366C78" w:rsidRDefault="0075123D" w:rsidP="00366C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4249" w14:textId="5A122E39" w:rsidR="0075123D" w:rsidRDefault="0075123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69CD274F"/>
    <w:multiLevelType w:val="hybridMultilevel"/>
    <w:tmpl w:val="2640EDD6"/>
    <w:lvl w:ilvl="0" w:tplc="7E90017A">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F956B0"/>
    <w:multiLevelType w:val="hybridMultilevel"/>
    <w:tmpl w:val="E8F2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3E"/>
    <w:rsid w:val="00001CF2"/>
    <w:rsid w:val="0000247B"/>
    <w:rsid w:val="00003FD8"/>
    <w:rsid w:val="0000469B"/>
    <w:rsid w:val="0000583C"/>
    <w:rsid w:val="0000786E"/>
    <w:rsid w:val="00023437"/>
    <w:rsid w:val="00034865"/>
    <w:rsid w:val="00035FF3"/>
    <w:rsid w:val="0004133A"/>
    <w:rsid w:val="00045965"/>
    <w:rsid w:val="00051021"/>
    <w:rsid w:val="00051ED9"/>
    <w:rsid w:val="00057181"/>
    <w:rsid w:val="000600ED"/>
    <w:rsid w:val="000636D6"/>
    <w:rsid w:val="0006473A"/>
    <w:rsid w:val="000649C6"/>
    <w:rsid w:val="00064B2D"/>
    <w:rsid w:val="00065F1F"/>
    <w:rsid w:val="000721E6"/>
    <w:rsid w:val="0007582F"/>
    <w:rsid w:val="00076D33"/>
    <w:rsid w:val="00085293"/>
    <w:rsid w:val="0008655E"/>
    <w:rsid w:val="00092CDA"/>
    <w:rsid w:val="00094FA9"/>
    <w:rsid w:val="000A1AA0"/>
    <w:rsid w:val="000A27E9"/>
    <w:rsid w:val="000A3D8B"/>
    <w:rsid w:val="000A5DF8"/>
    <w:rsid w:val="000A6494"/>
    <w:rsid w:val="000B15B5"/>
    <w:rsid w:val="000B1E03"/>
    <w:rsid w:val="000B4460"/>
    <w:rsid w:val="000B4854"/>
    <w:rsid w:val="000B6AF2"/>
    <w:rsid w:val="000C70B4"/>
    <w:rsid w:val="000D155B"/>
    <w:rsid w:val="000D1EB0"/>
    <w:rsid w:val="000D6FD4"/>
    <w:rsid w:val="000D7799"/>
    <w:rsid w:val="000E0AE4"/>
    <w:rsid w:val="000E3DBC"/>
    <w:rsid w:val="000E6D92"/>
    <w:rsid w:val="000E7920"/>
    <w:rsid w:val="000F2A94"/>
    <w:rsid w:val="00111601"/>
    <w:rsid w:val="00113CE3"/>
    <w:rsid w:val="00117522"/>
    <w:rsid w:val="00121577"/>
    <w:rsid w:val="00122918"/>
    <w:rsid w:val="00124F05"/>
    <w:rsid w:val="00125CD8"/>
    <w:rsid w:val="001273D5"/>
    <w:rsid w:val="00146682"/>
    <w:rsid w:val="0014707E"/>
    <w:rsid w:val="00151394"/>
    <w:rsid w:val="001542D8"/>
    <w:rsid w:val="00171A5F"/>
    <w:rsid w:val="00171ED5"/>
    <w:rsid w:val="00172827"/>
    <w:rsid w:val="0017450C"/>
    <w:rsid w:val="001745AB"/>
    <w:rsid w:val="00180C41"/>
    <w:rsid w:val="0018247C"/>
    <w:rsid w:val="00182C4C"/>
    <w:rsid w:val="001832E6"/>
    <w:rsid w:val="00197D8D"/>
    <w:rsid w:val="001A1A75"/>
    <w:rsid w:val="001A7E9A"/>
    <w:rsid w:val="001B6A4F"/>
    <w:rsid w:val="001C27A3"/>
    <w:rsid w:val="001C5295"/>
    <w:rsid w:val="001C7BB2"/>
    <w:rsid w:val="001D1BEF"/>
    <w:rsid w:val="001D42C3"/>
    <w:rsid w:val="001D71B0"/>
    <w:rsid w:val="001E09FA"/>
    <w:rsid w:val="001E62A5"/>
    <w:rsid w:val="00203540"/>
    <w:rsid w:val="0021612B"/>
    <w:rsid w:val="00216661"/>
    <w:rsid w:val="0022083A"/>
    <w:rsid w:val="00220B6A"/>
    <w:rsid w:val="00221D07"/>
    <w:rsid w:val="00226F8D"/>
    <w:rsid w:val="00227E4A"/>
    <w:rsid w:val="00232A88"/>
    <w:rsid w:val="0023482A"/>
    <w:rsid w:val="0023484F"/>
    <w:rsid w:val="00236340"/>
    <w:rsid w:val="00242090"/>
    <w:rsid w:val="0024255E"/>
    <w:rsid w:val="00243684"/>
    <w:rsid w:val="0024582E"/>
    <w:rsid w:val="00245C56"/>
    <w:rsid w:val="002547EF"/>
    <w:rsid w:val="00255825"/>
    <w:rsid w:val="00256D65"/>
    <w:rsid w:val="00267DBF"/>
    <w:rsid w:val="00271F00"/>
    <w:rsid w:val="00273A80"/>
    <w:rsid w:val="00273B60"/>
    <w:rsid w:val="00276930"/>
    <w:rsid w:val="002777D9"/>
    <w:rsid w:val="00281DC9"/>
    <w:rsid w:val="00291478"/>
    <w:rsid w:val="0029204E"/>
    <w:rsid w:val="00293A62"/>
    <w:rsid w:val="002944B1"/>
    <w:rsid w:val="0029631C"/>
    <w:rsid w:val="00296FCE"/>
    <w:rsid w:val="002A0194"/>
    <w:rsid w:val="002A220C"/>
    <w:rsid w:val="002A3314"/>
    <w:rsid w:val="002A4808"/>
    <w:rsid w:val="002A5A01"/>
    <w:rsid w:val="002A5CA6"/>
    <w:rsid w:val="002A5F8B"/>
    <w:rsid w:val="002A7F6C"/>
    <w:rsid w:val="002C6BE8"/>
    <w:rsid w:val="002D3CEC"/>
    <w:rsid w:val="002D4D82"/>
    <w:rsid w:val="002D6809"/>
    <w:rsid w:val="002E04A5"/>
    <w:rsid w:val="002F196D"/>
    <w:rsid w:val="002F6477"/>
    <w:rsid w:val="002F6488"/>
    <w:rsid w:val="00311337"/>
    <w:rsid w:val="00320839"/>
    <w:rsid w:val="00320FEA"/>
    <w:rsid w:val="003213F9"/>
    <w:rsid w:val="00323DBF"/>
    <w:rsid w:val="00326D85"/>
    <w:rsid w:val="003309A8"/>
    <w:rsid w:val="00331F8F"/>
    <w:rsid w:val="00332B12"/>
    <w:rsid w:val="003503C1"/>
    <w:rsid w:val="00350852"/>
    <w:rsid w:val="003510E1"/>
    <w:rsid w:val="00351B07"/>
    <w:rsid w:val="00352CF2"/>
    <w:rsid w:val="00352E3F"/>
    <w:rsid w:val="00353B1F"/>
    <w:rsid w:val="00356833"/>
    <w:rsid w:val="00362A00"/>
    <w:rsid w:val="00364118"/>
    <w:rsid w:val="00364841"/>
    <w:rsid w:val="00366C78"/>
    <w:rsid w:val="00371B29"/>
    <w:rsid w:val="00373C99"/>
    <w:rsid w:val="0037656B"/>
    <w:rsid w:val="00390FCE"/>
    <w:rsid w:val="00391769"/>
    <w:rsid w:val="00394006"/>
    <w:rsid w:val="003953E1"/>
    <w:rsid w:val="00395438"/>
    <w:rsid w:val="003956B3"/>
    <w:rsid w:val="00396DD9"/>
    <w:rsid w:val="003A3550"/>
    <w:rsid w:val="003A5307"/>
    <w:rsid w:val="003A6779"/>
    <w:rsid w:val="003A68BE"/>
    <w:rsid w:val="003B1151"/>
    <w:rsid w:val="003B1805"/>
    <w:rsid w:val="003B3C9D"/>
    <w:rsid w:val="003B49C3"/>
    <w:rsid w:val="003B5AE3"/>
    <w:rsid w:val="003B6E4F"/>
    <w:rsid w:val="003B78E0"/>
    <w:rsid w:val="003C03C2"/>
    <w:rsid w:val="003C4969"/>
    <w:rsid w:val="003D0748"/>
    <w:rsid w:val="003D26E7"/>
    <w:rsid w:val="003D3A0A"/>
    <w:rsid w:val="003D7C75"/>
    <w:rsid w:val="003E3746"/>
    <w:rsid w:val="003E41D5"/>
    <w:rsid w:val="003E46BA"/>
    <w:rsid w:val="003E56DE"/>
    <w:rsid w:val="003E7D22"/>
    <w:rsid w:val="003F62CB"/>
    <w:rsid w:val="003F6622"/>
    <w:rsid w:val="003F74C1"/>
    <w:rsid w:val="003F7C0F"/>
    <w:rsid w:val="00402F6D"/>
    <w:rsid w:val="00405B1A"/>
    <w:rsid w:val="00410018"/>
    <w:rsid w:val="00410C76"/>
    <w:rsid w:val="00411907"/>
    <w:rsid w:val="004123CF"/>
    <w:rsid w:val="00413CA8"/>
    <w:rsid w:val="00414202"/>
    <w:rsid w:val="00414794"/>
    <w:rsid w:val="00417EE3"/>
    <w:rsid w:val="0042015E"/>
    <w:rsid w:val="004202E4"/>
    <w:rsid w:val="0042032B"/>
    <w:rsid w:val="004207EB"/>
    <w:rsid w:val="00432BFD"/>
    <w:rsid w:val="00432C37"/>
    <w:rsid w:val="00437276"/>
    <w:rsid w:val="00441F31"/>
    <w:rsid w:val="00444E8C"/>
    <w:rsid w:val="0044669A"/>
    <w:rsid w:val="004469E5"/>
    <w:rsid w:val="00451FFE"/>
    <w:rsid w:val="00456B54"/>
    <w:rsid w:val="00464643"/>
    <w:rsid w:val="00475E85"/>
    <w:rsid w:val="00477315"/>
    <w:rsid w:val="0048458D"/>
    <w:rsid w:val="00486793"/>
    <w:rsid w:val="00487AF7"/>
    <w:rsid w:val="00490C65"/>
    <w:rsid w:val="004A0D76"/>
    <w:rsid w:val="004A13AF"/>
    <w:rsid w:val="004A2037"/>
    <w:rsid w:val="004A4290"/>
    <w:rsid w:val="004A7121"/>
    <w:rsid w:val="004A74D9"/>
    <w:rsid w:val="004C1141"/>
    <w:rsid w:val="004C2668"/>
    <w:rsid w:val="004C2CE7"/>
    <w:rsid w:val="004C77C1"/>
    <w:rsid w:val="004D2E42"/>
    <w:rsid w:val="004D5746"/>
    <w:rsid w:val="004F4F98"/>
    <w:rsid w:val="004F69F6"/>
    <w:rsid w:val="004F79AC"/>
    <w:rsid w:val="00501008"/>
    <w:rsid w:val="005017CF"/>
    <w:rsid w:val="00507766"/>
    <w:rsid w:val="00513915"/>
    <w:rsid w:val="005207D8"/>
    <w:rsid w:val="005273F8"/>
    <w:rsid w:val="0053464E"/>
    <w:rsid w:val="005409F7"/>
    <w:rsid w:val="0054272D"/>
    <w:rsid w:val="005471B0"/>
    <w:rsid w:val="00552E0A"/>
    <w:rsid w:val="005579EF"/>
    <w:rsid w:val="00560E57"/>
    <w:rsid w:val="00561BA6"/>
    <w:rsid w:val="00562917"/>
    <w:rsid w:val="0056510D"/>
    <w:rsid w:val="005654D8"/>
    <w:rsid w:val="00566B7E"/>
    <w:rsid w:val="00570484"/>
    <w:rsid w:val="005721CC"/>
    <w:rsid w:val="00573A4D"/>
    <w:rsid w:val="00574705"/>
    <w:rsid w:val="0057613A"/>
    <w:rsid w:val="0057615C"/>
    <w:rsid w:val="00586228"/>
    <w:rsid w:val="00592D46"/>
    <w:rsid w:val="005A0A3E"/>
    <w:rsid w:val="005A1D97"/>
    <w:rsid w:val="005A58F3"/>
    <w:rsid w:val="005B6AF4"/>
    <w:rsid w:val="005B7A73"/>
    <w:rsid w:val="005C04CB"/>
    <w:rsid w:val="005C2212"/>
    <w:rsid w:val="005C4E7F"/>
    <w:rsid w:val="005D0069"/>
    <w:rsid w:val="005D16AD"/>
    <w:rsid w:val="005D277B"/>
    <w:rsid w:val="005D2C5F"/>
    <w:rsid w:val="005D352F"/>
    <w:rsid w:val="005D72E1"/>
    <w:rsid w:val="005E4B35"/>
    <w:rsid w:val="005E6E16"/>
    <w:rsid w:val="005F2FAC"/>
    <w:rsid w:val="005F400E"/>
    <w:rsid w:val="005F6F07"/>
    <w:rsid w:val="005F7342"/>
    <w:rsid w:val="00603A08"/>
    <w:rsid w:val="006045D0"/>
    <w:rsid w:val="00610A3C"/>
    <w:rsid w:val="00613101"/>
    <w:rsid w:val="00621AF4"/>
    <w:rsid w:val="00627F48"/>
    <w:rsid w:val="00630C23"/>
    <w:rsid w:val="00631E25"/>
    <w:rsid w:val="006371C0"/>
    <w:rsid w:val="00640284"/>
    <w:rsid w:val="00641EF6"/>
    <w:rsid w:val="00644613"/>
    <w:rsid w:val="006448FD"/>
    <w:rsid w:val="006460AB"/>
    <w:rsid w:val="00651A8F"/>
    <w:rsid w:val="00662DAC"/>
    <w:rsid w:val="00663FCF"/>
    <w:rsid w:val="006652A2"/>
    <w:rsid w:val="0067248B"/>
    <w:rsid w:val="00680E61"/>
    <w:rsid w:val="0068203E"/>
    <w:rsid w:val="00682886"/>
    <w:rsid w:val="00683DE1"/>
    <w:rsid w:val="006842E6"/>
    <w:rsid w:val="00686272"/>
    <w:rsid w:val="00687C8E"/>
    <w:rsid w:val="00690043"/>
    <w:rsid w:val="00690206"/>
    <w:rsid w:val="006937FF"/>
    <w:rsid w:val="00694AD4"/>
    <w:rsid w:val="00697A89"/>
    <w:rsid w:val="006A3B5E"/>
    <w:rsid w:val="006A48A7"/>
    <w:rsid w:val="006A5622"/>
    <w:rsid w:val="006A794F"/>
    <w:rsid w:val="006B1654"/>
    <w:rsid w:val="006B41F3"/>
    <w:rsid w:val="006B4BA1"/>
    <w:rsid w:val="006B5EBE"/>
    <w:rsid w:val="006C5CF5"/>
    <w:rsid w:val="006D2CDB"/>
    <w:rsid w:val="006F2575"/>
    <w:rsid w:val="006F469F"/>
    <w:rsid w:val="006F4A82"/>
    <w:rsid w:val="006F54EF"/>
    <w:rsid w:val="00700153"/>
    <w:rsid w:val="0070373B"/>
    <w:rsid w:val="00704BDB"/>
    <w:rsid w:val="00724FA4"/>
    <w:rsid w:val="007300AE"/>
    <w:rsid w:val="00730800"/>
    <w:rsid w:val="00735F68"/>
    <w:rsid w:val="0074149E"/>
    <w:rsid w:val="007421C2"/>
    <w:rsid w:val="0074554B"/>
    <w:rsid w:val="00747FB9"/>
    <w:rsid w:val="0075123D"/>
    <w:rsid w:val="00752CED"/>
    <w:rsid w:val="007602AA"/>
    <w:rsid w:val="00762546"/>
    <w:rsid w:val="00764D39"/>
    <w:rsid w:val="007652EF"/>
    <w:rsid w:val="00772BDC"/>
    <w:rsid w:val="00780792"/>
    <w:rsid w:val="00782EE9"/>
    <w:rsid w:val="00786501"/>
    <w:rsid w:val="0079443D"/>
    <w:rsid w:val="00794FA8"/>
    <w:rsid w:val="00796562"/>
    <w:rsid w:val="007A4464"/>
    <w:rsid w:val="007A44B4"/>
    <w:rsid w:val="007A7D3D"/>
    <w:rsid w:val="007B225D"/>
    <w:rsid w:val="007B5B6E"/>
    <w:rsid w:val="007C174F"/>
    <w:rsid w:val="007C1C64"/>
    <w:rsid w:val="007C25C2"/>
    <w:rsid w:val="007C4DAC"/>
    <w:rsid w:val="007D03EA"/>
    <w:rsid w:val="007E19AE"/>
    <w:rsid w:val="007E267F"/>
    <w:rsid w:val="007E2C9F"/>
    <w:rsid w:val="007E48BC"/>
    <w:rsid w:val="007E79F7"/>
    <w:rsid w:val="007F272A"/>
    <w:rsid w:val="007F3630"/>
    <w:rsid w:val="007F5DEA"/>
    <w:rsid w:val="007F7D3E"/>
    <w:rsid w:val="00800632"/>
    <w:rsid w:val="008027CD"/>
    <w:rsid w:val="00807559"/>
    <w:rsid w:val="00811BEC"/>
    <w:rsid w:val="00813E65"/>
    <w:rsid w:val="00821184"/>
    <w:rsid w:val="008403EF"/>
    <w:rsid w:val="00842A64"/>
    <w:rsid w:val="00844173"/>
    <w:rsid w:val="008450BC"/>
    <w:rsid w:val="00846A42"/>
    <w:rsid w:val="0085334B"/>
    <w:rsid w:val="008536E3"/>
    <w:rsid w:val="0086228A"/>
    <w:rsid w:val="00862BDA"/>
    <w:rsid w:val="00864ECA"/>
    <w:rsid w:val="00870214"/>
    <w:rsid w:val="00875F42"/>
    <w:rsid w:val="00885C51"/>
    <w:rsid w:val="00885EB0"/>
    <w:rsid w:val="0089094B"/>
    <w:rsid w:val="00891F4B"/>
    <w:rsid w:val="0089264A"/>
    <w:rsid w:val="00896B85"/>
    <w:rsid w:val="00897153"/>
    <w:rsid w:val="008A0197"/>
    <w:rsid w:val="008A22BE"/>
    <w:rsid w:val="008A6203"/>
    <w:rsid w:val="008B3CFC"/>
    <w:rsid w:val="008B4103"/>
    <w:rsid w:val="008B4238"/>
    <w:rsid w:val="008B6655"/>
    <w:rsid w:val="008B6CE4"/>
    <w:rsid w:val="008B7415"/>
    <w:rsid w:val="008C1B36"/>
    <w:rsid w:val="008C213C"/>
    <w:rsid w:val="008C6B57"/>
    <w:rsid w:val="008C6C0B"/>
    <w:rsid w:val="008D06C6"/>
    <w:rsid w:val="008D190D"/>
    <w:rsid w:val="008D19EE"/>
    <w:rsid w:val="008D5EB8"/>
    <w:rsid w:val="008D7425"/>
    <w:rsid w:val="008E001F"/>
    <w:rsid w:val="008E2ADA"/>
    <w:rsid w:val="008E318B"/>
    <w:rsid w:val="008E4F1F"/>
    <w:rsid w:val="008E6250"/>
    <w:rsid w:val="008E69D7"/>
    <w:rsid w:val="008F192F"/>
    <w:rsid w:val="008F1B0C"/>
    <w:rsid w:val="008F24A5"/>
    <w:rsid w:val="008F2BB9"/>
    <w:rsid w:val="008F5D91"/>
    <w:rsid w:val="008F67A2"/>
    <w:rsid w:val="00902AF6"/>
    <w:rsid w:val="00904414"/>
    <w:rsid w:val="00915F70"/>
    <w:rsid w:val="00920249"/>
    <w:rsid w:val="00921D89"/>
    <w:rsid w:val="0092306E"/>
    <w:rsid w:val="00924C80"/>
    <w:rsid w:val="00932F14"/>
    <w:rsid w:val="00933C83"/>
    <w:rsid w:val="0093703C"/>
    <w:rsid w:val="00941365"/>
    <w:rsid w:val="0094247F"/>
    <w:rsid w:val="00942D60"/>
    <w:rsid w:val="009449D1"/>
    <w:rsid w:val="00950C1D"/>
    <w:rsid w:val="009529F1"/>
    <w:rsid w:val="00954EF3"/>
    <w:rsid w:val="00955BD6"/>
    <w:rsid w:val="0095763D"/>
    <w:rsid w:val="0096523B"/>
    <w:rsid w:val="00966332"/>
    <w:rsid w:val="00966EE3"/>
    <w:rsid w:val="00971CA4"/>
    <w:rsid w:val="00972D06"/>
    <w:rsid w:val="00974CDC"/>
    <w:rsid w:val="00986D29"/>
    <w:rsid w:val="00991E2B"/>
    <w:rsid w:val="009946B5"/>
    <w:rsid w:val="00994F4B"/>
    <w:rsid w:val="00995F06"/>
    <w:rsid w:val="009A1F8E"/>
    <w:rsid w:val="009A391C"/>
    <w:rsid w:val="009A50F2"/>
    <w:rsid w:val="009C259E"/>
    <w:rsid w:val="009E0A61"/>
    <w:rsid w:val="009E1D79"/>
    <w:rsid w:val="009E3010"/>
    <w:rsid w:val="009F007E"/>
    <w:rsid w:val="009F0732"/>
    <w:rsid w:val="009F7065"/>
    <w:rsid w:val="00A03A8F"/>
    <w:rsid w:val="00A06340"/>
    <w:rsid w:val="00A212A3"/>
    <w:rsid w:val="00A217DD"/>
    <w:rsid w:val="00A21B3D"/>
    <w:rsid w:val="00A2483C"/>
    <w:rsid w:val="00A3753C"/>
    <w:rsid w:val="00A37AF4"/>
    <w:rsid w:val="00A4175D"/>
    <w:rsid w:val="00A46623"/>
    <w:rsid w:val="00A56DC7"/>
    <w:rsid w:val="00A57C62"/>
    <w:rsid w:val="00A61F1B"/>
    <w:rsid w:val="00A63543"/>
    <w:rsid w:val="00A7357E"/>
    <w:rsid w:val="00A74FD1"/>
    <w:rsid w:val="00A775FC"/>
    <w:rsid w:val="00A77BFA"/>
    <w:rsid w:val="00A843DB"/>
    <w:rsid w:val="00A84A58"/>
    <w:rsid w:val="00A86780"/>
    <w:rsid w:val="00A90BC3"/>
    <w:rsid w:val="00A926B7"/>
    <w:rsid w:val="00A96273"/>
    <w:rsid w:val="00A96613"/>
    <w:rsid w:val="00A96A47"/>
    <w:rsid w:val="00AA4E74"/>
    <w:rsid w:val="00AA5AC0"/>
    <w:rsid w:val="00AB09C5"/>
    <w:rsid w:val="00AB147C"/>
    <w:rsid w:val="00AB668A"/>
    <w:rsid w:val="00AB6F08"/>
    <w:rsid w:val="00AC0AD1"/>
    <w:rsid w:val="00AC5DA4"/>
    <w:rsid w:val="00AC7464"/>
    <w:rsid w:val="00AD54C9"/>
    <w:rsid w:val="00AD551B"/>
    <w:rsid w:val="00AD72D4"/>
    <w:rsid w:val="00AE0C6E"/>
    <w:rsid w:val="00AE229F"/>
    <w:rsid w:val="00AE304A"/>
    <w:rsid w:val="00AF06FC"/>
    <w:rsid w:val="00AF3391"/>
    <w:rsid w:val="00AF387F"/>
    <w:rsid w:val="00B00E7F"/>
    <w:rsid w:val="00B02707"/>
    <w:rsid w:val="00B02D4E"/>
    <w:rsid w:val="00B0475D"/>
    <w:rsid w:val="00B04EE2"/>
    <w:rsid w:val="00B05445"/>
    <w:rsid w:val="00B07A52"/>
    <w:rsid w:val="00B12F1E"/>
    <w:rsid w:val="00B173DA"/>
    <w:rsid w:val="00B21DCC"/>
    <w:rsid w:val="00B224BC"/>
    <w:rsid w:val="00B25F37"/>
    <w:rsid w:val="00B325DE"/>
    <w:rsid w:val="00B3457C"/>
    <w:rsid w:val="00B345E7"/>
    <w:rsid w:val="00B37BF0"/>
    <w:rsid w:val="00B40CD5"/>
    <w:rsid w:val="00B44422"/>
    <w:rsid w:val="00B46EA0"/>
    <w:rsid w:val="00B57B66"/>
    <w:rsid w:val="00B6119A"/>
    <w:rsid w:val="00B64669"/>
    <w:rsid w:val="00B731D3"/>
    <w:rsid w:val="00B75178"/>
    <w:rsid w:val="00B81FED"/>
    <w:rsid w:val="00B839A3"/>
    <w:rsid w:val="00B849F4"/>
    <w:rsid w:val="00B902BD"/>
    <w:rsid w:val="00B9146B"/>
    <w:rsid w:val="00B93FE6"/>
    <w:rsid w:val="00B9667C"/>
    <w:rsid w:val="00BA24E2"/>
    <w:rsid w:val="00BA38EE"/>
    <w:rsid w:val="00BB54DA"/>
    <w:rsid w:val="00BB64F4"/>
    <w:rsid w:val="00BB6F87"/>
    <w:rsid w:val="00BC6333"/>
    <w:rsid w:val="00BD2A39"/>
    <w:rsid w:val="00BD2E80"/>
    <w:rsid w:val="00BD655E"/>
    <w:rsid w:val="00BD777F"/>
    <w:rsid w:val="00BE01FA"/>
    <w:rsid w:val="00BE11B8"/>
    <w:rsid w:val="00BF427E"/>
    <w:rsid w:val="00BF53D7"/>
    <w:rsid w:val="00BF5A0B"/>
    <w:rsid w:val="00BF5DA6"/>
    <w:rsid w:val="00BF7FF0"/>
    <w:rsid w:val="00C00398"/>
    <w:rsid w:val="00C01FC5"/>
    <w:rsid w:val="00C023F1"/>
    <w:rsid w:val="00C052DE"/>
    <w:rsid w:val="00C057F4"/>
    <w:rsid w:val="00C07707"/>
    <w:rsid w:val="00C12502"/>
    <w:rsid w:val="00C14720"/>
    <w:rsid w:val="00C27752"/>
    <w:rsid w:val="00C27AE2"/>
    <w:rsid w:val="00C33B93"/>
    <w:rsid w:val="00C36578"/>
    <w:rsid w:val="00C40AA5"/>
    <w:rsid w:val="00C45924"/>
    <w:rsid w:val="00C46F70"/>
    <w:rsid w:val="00C476D0"/>
    <w:rsid w:val="00C534E4"/>
    <w:rsid w:val="00C55CFA"/>
    <w:rsid w:val="00C575FC"/>
    <w:rsid w:val="00C614CB"/>
    <w:rsid w:val="00C617C1"/>
    <w:rsid w:val="00C61AC1"/>
    <w:rsid w:val="00C7275B"/>
    <w:rsid w:val="00C74D46"/>
    <w:rsid w:val="00C836E3"/>
    <w:rsid w:val="00C86577"/>
    <w:rsid w:val="00C917A2"/>
    <w:rsid w:val="00C92E07"/>
    <w:rsid w:val="00C93AC5"/>
    <w:rsid w:val="00C96868"/>
    <w:rsid w:val="00CA0416"/>
    <w:rsid w:val="00CA1AC5"/>
    <w:rsid w:val="00CA2312"/>
    <w:rsid w:val="00CA641D"/>
    <w:rsid w:val="00CC4440"/>
    <w:rsid w:val="00CC50A5"/>
    <w:rsid w:val="00CC560B"/>
    <w:rsid w:val="00CC75E2"/>
    <w:rsid w:val="00CD46EB"/>
    <w:rsid w:val="00CD599E"/>
    <w:rsid w:val="00CD7EBF"/>
    <w:rsid w:val="00CE07C0"/>
    <w:rsid w:val="00CE4B9B"/>
    <w:rsid w:val="00CF2640"/>
    <w:rsid w:val="00CF5631"/>
    <w:rsid w:val="00CF63B4"/>
    <w:rsid w:val="00CF77C5"/>
    <w:rsid w:val="00D00278"/>
    <w:rsid w:val="00D03B20"/>
    <w:rsid w:val="00D056F1"/>
    <w:rsid w:val="00D11171"/>
    <w:rsid w:val="00D1142E"/>
    <w:rsid w:val="00D11486"/>
    <w:rsid w:val="00D22F3C"/>
    <w:rsid w:val="00D23DB6"/>
    <w:rsid w:val="00D33FEF"/>
    <w:rsid w:val="00D35FA7"/>
    <w:rsid w:val="00D3732A"/>
    <w:rsid w:val="00D41BA0"/>
    <w:rsid w:val="00D43FE6"/>
    <w:rsid w:val="00D4417D"/>
    <w:rsid w:val="00D51A95"/>
    <w:rsid w:val="00D60568"/>
    <w:rsid w:val="00D62874"/>
    <w:rsid w:val="00D63355"/>
    <w:rsid w:val="00D638A9"/>
    <w:rsid w:val="00D63E29"/>
    <w:rsid w:val="00D67083"/>
    <w:rsid w:val="00D70C7A"/>
    <w:rsid w:val="00D76600"/>
    <w:rsid w:val="00D81D38"/>
    <w:rsid w:val="00D8285F"/>
    <w:rsid w:val="00D82B96"/>
    <w:rsid w:val="00D85435"/>
    <w:rsid w:val="00D9620E"/>
    <w:rsid w:val="00DA10A8"/>
    <w:rsid w:val="00DA4BD8"/>
    <w:rsid w:val="00DA5361"/>
    <w:rsid w:val="00DA6BCB"/>
    <w:rsid w:val="00DB1A35"/>
    <w:rsid w:val="00DB1E08"/>
    <w:rsid w:val="00DB2973"/>
    <w:rsid w:val="00DB3262"/>
    <w:rsid w:val="00DB46F5"/>
    <w:rsid w:val="00DC05D8"/>
    <w:rsid w:val="00DC1B56"/>
    <w:rsid w:val="00DC2129"/>
    <w:rsid w:val="00DC3D80"/>
    <w:rsid w:val="00DC4B91"/>
    <w:rsid w:val="00DC6570"/>
    <w:rsid w:val="00DD3C5E"/>
    <w:rsid w:val="00DD4AA2"/>
    <w:rsid w:val="00DD4B32"/>
    <w:rsid w:val="00DE1677"/>
    <w:rsid w:val="00DF25C3"/>
    <w:rsid w:val="00DF564D"/>
    <w:rsid w:val="00DF600C"/>
    <w:rsid w:val="00E04062"/>
    <w:rsid w:val="00E063C6"/>
    <w:rsid w:val="00E066BA"/>
    <w:rsid w:val="00E1676C"/>
    <w:rsid w:val="00E2003B"/>
    <w:rsid w:val="00E203C2"/>
    <w:rsid w:val="00E23E12"/>
    <w:rsid w:val="00E279D8"/>
    <w:rsid w:val="00E319B1"/>
    <w:rsid w:val="00E34682"/>
    <w:rsid w:val="00E421CD"/>
    <w:rsid w:val="00E44E0D"/>
    <w:rsid w:val="00E51F57"/>
    <w:rsid w:val="00E528A6"/>
    <w:rsid w:val="00E5492F"/>
    <w:rsid w:val="00E62DEF"/>
    <w:rsid w:val="00E66AA0"/>
    <w:rsid w:val="00E70A86"/>
    <w:rsid w:val="00E73ECC"/>
    <w:rsid w:val="00E75AC1"/>
    <w:rsid w:val="00E7664F"/>
    <w:rsid w:val="00E777EC"/>
    <w:rsid w:val="00E80FCD"/>
    <w:rsid w:val="00E85DC5"/>
    <w:rsid w:val="00E93666"/>
    <w:rsid w:val="00EA7F2F"/>
    <w:rsid w:val="00EB05F6"/>
    <w:rsid w:val="00EB0BB6"/>
    <w:rsid w:val="00EB1256"/>
    <w:rsid w:val="00EB746C"/>
    <w:rsid w:val="00EC00DE"/>
    <w:rsid w:val="00EC07A3"/>
    <w:rsid w:val="00EC1E53"/>
    <w:rsid w:val="00EC30E1"/>
    <w:rsid w:val="00EC409E"/>
    <w:rsid w:val="00EC53A2"/>
    <w:rsid w:val="00ED172A"/>
    <w:rsid w:val="00ED6A51"/>
    <w:rsid w:val="00ED7E21"/>
    <w:rsid w:val="00EF13A6"/>
    <w:rsid w:val="00EF4036"/>
    <w:rsid w:val="00F0117A"/>
    <w:rsid w:val="00F11F6C"/>
    <w:rsid w:val="00F14BEC"/>
    <w:rsid w:val="00F15125"/>
    <w:rsid w:val="00F175DD"/>
    <w:rsid w:val="00F225C5"/>
    <w:rsid w:val="00F2587A"/>
    <w:rsid w:val="00F26118"/>
    <w:rsid w:val="00F319B7"/>
    <w:rsid w:val="00F346F3"/>
    <w:rsid w:val="00F36FF0"/>
    <w:rsid w:val="00F3715D"/>
    <w:rsid w:val="00F416A1"/>
    <w:rsid w:val="00F420C8"/>
    <w:rsid w:val="00F428CA"/>
    <w:rsid w:val="00F42A4C"/>
    <w:rsid w:val="00F4665E"/>
    <w:rsid w:val="00F604DE"/>
    <w:rsid w:val="00F65415"/>
    <w:rsid w:val="00F67BF7"/>
    <w:rsid w:val="00F70F5B"/>
    <w:rsid w:val="00F75AFE"/>
    <w:rsid w:val="00F92A14"/>
    <w:rsid w:val="00F949BF"/>
    <w:rsid w:val="00F95F85"/>
    <w:rsid w:val="00FA01B2"/>
    <w:rsid w:val="00FA40BB"/>
    <w:rsid w:val="00FA4F55"/>
    <w:rsid w:val="00FA6E05"/>
    <w:rsid w:val="00FB014B"/>
    <w:rsid w:val="00FB195B"/>
    <w:rsid w:val="00FB47D4"/>
    <w:rsid w:val="00FB7194"/>
    <w:rsid w:val="00FB7512"/>
    <w:rsid w:val="00FC50C3"/>
    <w:rsid w:val="00FD2483"/>
    <w:rsid w:val="00FD7547"/>
    <w:rsid w:val="00FE3E8F"/>
    <w:rsid w:val="00FE677A"/>
    <w:rsid w:val="00FF2178"/>
    <w:rsid w:val="00FF4DD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E2323"/>
  <w15:docId w15:val="{7A782315-C7BB-45E1-A6F0-1C230D17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3"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C50C3"/>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FC50C3"/>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4A13AF"/>
    <w:pPr>
      <w:tabs>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93703C"/>
    <w:rPr>
      <w:b/>
      <w:bCs/>
    </w:rPr>
  </w:style>
  <w:style w:type="character" w:customStyle="1" w:styleId="CommentSubjectChar">
    <w:name w:val="Comment Subject Char"/>
    <w:basedOn w:val="CommentTextChar"/>
    <w:link w:val="CommentSubject"/>
    <w:semiHidden/>
    <w:rsid w:val="0093703C"/>
    <w:rPr>
      <w:rFonts w:ascii="Arial" w:hAnsi="Arial"/>
      <w:b/>
      <w:bCs/>
      <w:lang w:eastAsia="en-US" w:bidi="en-US"/>
    </w:rPr>
  </w:style>
  <w:style w:type="paragraph" w:styleId="ListParagraph">
    <w:name w:val="List Paragraph"/>
    <w:basedOn w:val="Normal"/>
    <w:uiPriority w:val="34"/>
    <w:rsid w:val="006F54EF"/>
    <w:pPr>
      <w:ind w:left="720"/>
      <w:contextualSpacing/>
    </w:pPr>
  </w:style>
  <w:style w:type="paragraph" w:customStyle="1" w:styleId="FooterPPHFF-9022022-121425PM">
    <w:name w:val="FooterPPHFF-9022022-121425 PM"/>
    <w:rsid w:val="006F54EF"/>
    <w:pPr>
      <w:ind w:left="1134" w:hanging="567"/>
    </w:pPr>
    <w:rPr>
      <w:rFonts w:ascii="Arial" w:eastAsia="Calibri" w:hAnsi="Arial"/>
      <w:sz w:val="22"/>
      <w:szCs w:val="22"/>
      <w:lang w:eastAsia="en-US"/>
    </w:rPr>
  </w:style>
  <w:style w:type="character" w:customStyle="1" w:styleId="FootnoteTextChar">
    <w:name w:val="Footnote Text Char"/>
    <w:aliases w:val="Footnotes Text Char,FSFootnotes Text Char,FSFootnote Text Char"/>
    <w:basedOn w:val="DefaultParagraphFont"/>
    <w:link w:val="FootnoteText"/>
    <w:rsid w:val="0067248B"/>
    <w:rPr>
      <w:rFonts w:ascii="Arial" w:hAnsi="Arial"/>
      <w:lang w:eastAsia="en-US" w:bidi="en-US"/>
    </w:rPr>
  </w:style>
  <w:style w:type="table" w:customStyle="1" w:styleId="TableGrid21">
    <w:name w:val="Table Grid21"/>
    <w:basedOn w:val="TableNormal"/>
    <w:next w:val="TableGrid"/>
    <w:uiPriority w:val="59"/>
    <w:rsid w:val="0067248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7248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TableFigureHeading">
    <w:name w:val="FSTable/Figure Heading"/>
    <w:basedOn w:val="Normal"/>
    <w:uiPriority w:val="7"/>
    <w:qFormat/>
    <w:locked/>
    <w:rsid w:val="0067248B"/>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67248B"/>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AARBullet">
    <w:name w:val="AAR Bullet"/>
    <w:basedOn w:val="Normal"/>
    <w:qFormat/>
    <w:rsid w:val="00146682"/>
    <w:pPr>
      <w:widowControl/>
      <w:numPr>
        <w:numId w:val="6"/>
      </w:numPr>
      <w:spacing w:before="60" w:after="60"/>
    </w:pPr>
    <w:rPr>
      <w:rFonts w:cs="Arial"/>
      <w:sz w:val="20"/>
      <w:lang w:val="en-AU" w:bidi="ar-SA"/>
    </w:rPr>
  </w:style>
  <w:style w:type="table" w:customStyle="1" w:styleId="TableClassic42">
    <w:name w:val="Table Classic 42"/>
    <w:basedOn w:val="TableNormal"/>
    <w:rsid w:val="008D19EE"/>
    <w:pPr>
      <w:widowControl w:val="0"/>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E4B35"/>
    <w:pPr>
      <w:autoSpaceDE w:val="0"/>
      <w:autoSpaceDN w:val="0"/>
      <w:adjustRightInd w:val="0"/>
    </w:pPr>
    <w:rPr>
      <w:rFonts w:ascii="Arial" w:hAnsi="Arial" w:cs="Arial"/>
      <w:color w:val="000000"/>
      <w:sz w:val="24"/>
      <w:szCs w:val="24"/>
    </w:rPr>
  </w:style>
  <w:style w:type="paragraph" w:customStyle="1" w:styleId="HeaderEPHFF-4032022-124044PM">
    <w:name w:val="HeaderEPHFF-4032022-124044 PM"/>
    <w:rsid w:val="00D1142E"/>
    <w:pPr>
      <w:ind w:left="1134" w:hanging="567"/>
    </w:pPr>
    <w:rPr>
      <w:rFonts w:ascii="Arial" w:eastAsia="Calibri" w:hAnsi="Arial"/>
      <w:sz w:val="22"/>
      <w:szCs w:val="22"/>
      <w:lang w:eastAsia="en-US"/>
    </w:rPr>
  </w:style>
  <w:style w:type="paragraph" w:customStyle="1" w:styleId="HeaderEPHFF-8032022-44353PM">
    <w:name w:val="HeaderEPHFF-8032022-44353 PM"/>
    <w:rsid w:val="00331F8F"/>
    <w:pPr>
      <w:widowControl w:val="0"/>
    </w:pPr>
    <w:rPr>
      <w:rFonts w:ascii="Arial" w:hAnsi="Arial"/>
      <w:sz w:val="22"/>
      <w:szCs w:val="24"/>
      <w:lang w:eastAsia="en-US" w:bidi="en-US"/>
    </w:rPr>
  </w:style>
  <w:style w:type="character" w:customStyle="1" w:styleId="FooterChar">
    <w:name w:val="Footer Char"/>
    <w:basedOn w:val="DefaultParagraphFont"/>
    <w:link w:val="Footer"/>
    <w:uiPriority w:val="99"/>
    <w:rsid w:val="00CE07C0"/>
    <w:rPr>
      <w:rFonts w:ascii="Arial" w:hAnsi="Arial"/>
      <w:szCs w:val="24"/>
      <w:lang w:eastAsia="en-US" w:bidi="en-US"/>
    </w:rPr>
  </w:style>
  <w:style w:type="paragraph" w:customStyle="1" w:styleId="HeaderFPHFF-22032022-33250PM">
    <w:name w:val="HeaderFPHFF-22032022-33250 PM"/>
    <w:rsid w:val="00DB1A35"/>
    <w:pPr>
      <w:spacing w:before="120" w:after="120" w:line="259" w:lineRule="auto"/>
    </w:pPr>
    <w:rPr>
      <w:rFonts w:ascii="Arial" w:hAnsi="Arial"/>
      <w:lang w:eastAsia="en-US" w:bidi="en-US"/>
    </w:rPr>
  </w:style>
  <w:style w:type="paragraph" w:styleId="Revision">
    <w:name w:val="Revision"/>
    <w:hidden/>
    <w:uiPriority w:val="99"/>
    <w:semiHidden/>
    <w:rsid w:val="00C617C1"/>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8750">
      <w:bodyDiv w:val="1"/>
      <w:marLeft w:val="0"/>
      <w:marRight w:val="0"/>
      <w:marTop w:val="0"/>
      <w:marBottom w:val="0"/>
      <w:divBdr>
        <w:top w:val="none" w:sz="0" w:space="0" w:color="auto"/>
        <w:left w:val="none" w:sz="0" w:space="0" w:color="auto"/>
        <w:bottom w:val="none" w:sz="0" w:space="0" w:color="auto"/>
        <w:right w:val="none" w:sz="0" w:space="0" w:color="auto"/>
      </w:divBdr>
    </w:div>
    <w:div w:id="331563740">
      <w:bodyDiv w:val="1"/>
      <w:marLeft w:val="0"/>
      <w:marRight w:val="0"/>
      <w:marTop w:val="0"/>
      <w:marBottom w:val="0"/>
      <w:divBdr>
        <w:top w:val="none" w:sz="0" w:space="0" w:color="auto"/>
        <w:left w:val="none" w:sz="0" w:space="0" w:color="auto"/>
        <w:bottom w:val="none" w:sz="0" w:space="0" w:color="auto"/>
        <w:right w:val="none" w:sz="0" w:space="0" w:color="auto"/>
      </w:divBdr>
    </w:div>
    <w:div w:id="457113995">
      <w:bodyDiv w:val="1"/>
      <w:marLeft w:val="0"/>
      <w:marRight w:val="0"/>
      <w:marTop w:val="0"/>
      <w:marBottom w:val="0"/>
      <w:divBdr>
        <w:top w:val="none" w:sz="0" w:space="0" w:color="auto"/>
        <w:left w:val="none" w:sz="0" w:space="0" w:color="auto"/>
        <w:bottom w:val="none" w:sz="0" w:space="0" w:color="auto"/>
        <w:right w:val="none" w:sz="0" w:space="0" w:color="auto"/>
      </w:divBdr>
    </w:div>
    <w:div w:id="501701438">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758479052">
      <w:bodyDiv w:val="1"/>
      <w:marLeft w:val="0"/>
      <w:marRight w:val="0"/>
      <w:marTop w:val="0"/>
      <w:marBottom w:val="0"/>
      <w:divBdr>
        <w:top w:val="none" w:sz="0" w:space="0" w:color="auto"/>
        <w:left w:val="none" w:sz="0" w:space="0" w:color="auto"/>
        <w:bottom w:val="none" w:sz="0" w:space="0" w:color="auto"/>
        <w:right w:val="none" w:sz="0" w:space="0" w:color="auto"/>
      </w:divBdr>
    </w:div>
    <w:div w:id="820586696">
      <w:bodyDiv w:val="1"/>
      <w:marLeft w:val="0"/>
      <w:marRight w:val="0"/>
      <w:marTop w:val="0"/>
      <w:marBottom w:val="0"/>
      <w:divBdr>
        <w:top w:val="none" w:sz="0" w:space="0" w:color="auto"/>
        <w:left w:val="none" w:sz="0" w:space="0" w:color="auto"/>
        <w:bottom w:val="none" w:sz="0" w:space="0" w:color="auto"/>
        <w:right w:val="none" w:sz="0" w:space="0" w:color="auto"/>
      </w:divBdr>
    </w:div>
    <w:div w:id="1018894870">
      <w:bodyDiv w:val="1"/>
      <w:marLeft w:val="0"/>
      <w:marRight w:val="0"/>
      <w:marTop w:val="0"/>
      <w:marBottom w:val="0"/>
      <w:divBdr>
        <w:top w:val="none" w:sz="0" w:space="0" w:color="auto"/>
        <w:left w:val="none" w:sz="0" w:space="0" w:color="auto"/>
        <w:bottom w:val="none" w:sz="0" w:space="0" w:color="auto"/>
        <w:right w:val="none" w:sz="0" w:space="0" w:color="auto"/>
      </w:divBdr>
    </w:div>
    <w:div w:id="1155948802">
      <w:bodyDiv w:val="1"/>
      <w:marLeft w:val="0"/>
      <w:marRight w:val="0"/>
      <w:marTop w:val="0"/>
      <w:marBottom w:val="0"/>
      <w:divBdr>
        <w:top w:val="none" w:sz="0" w:space="0" w:color="auto"/>
        <w:left w:val="none" w:sz="0" w:space="0" w:color="auto"/>
        <w:bottom w:val="none" w:sz="0" w:space="0" w:color="auto"/>
        <w:right w:val="none" w:sz="0" w:space="0" w:color="auto"/>
      </w:divBdr>
    </w:div>
    <w:div w:id="1168906997">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46549746">
      <w:bodyDiv w:val="1"/>
      <w:marLeft w:val="0"/>
      <w:marRight w:val="0"/>
      <w:marTop w:val="0"/>
      <w:marBottom w:val="0"/>
      <w:divBdr>
        <w:top w:val="none" w:sz="0" w:space="0" w:color="auto"/>
        <w:left w:val="none" w:sz="0" w:space="0" w:color="auto"/>
        <w:bottom w:val="none" w:sz="0" w:space="0" w:color="auto"/>
        <w:right w:val="none" w:sz="0" w:space="0" w:color="auto"/>
      </w:divBdr>
    </w:div>
    <w:div w:id="1890800425">
      <w:bodyDiv w:val="1"/>
      <w:marLeft w:val="0"/>
      <w:marRight w:val="0"/>
      <w:marTop w:val="0"/>
      <w:marBottom w:val="0"/>
      <w:divBdr>
        <w:top w:val="none" w:sz="0" w:space="0" w:color="auto"/>
        <w:left w:val="none" w:sz="0" w:space="0" w:color="auto"/>
        <w:bottom w:val="none" w:sz="0" w:space="0" w:color="auto"/>
        <w:right w:val="none" w:sz="0" w:space="0" w:color="auto"/>
      </w:divBdr>
    </w:div>
    <w:div w:id="1904752189">
      <w:bodyDiv w:val="1"/>
      <w:marLeft w:val="0"/>
      <w:marRight w:val="0"/>
      <w:marTop w:val="0"/>
      <w:marBottom w:val="0"/>
      <w:divBdr>
        <w:top w:val="none" w:sz="0" w:space="0" w:color="auto"/>
        <w:left w:val="none" w:sz="0" w:space="0" w:color="auto"/>
        <w:bottom w:val="none" w:sz="0" w:space="0" w:color="auto"/>
        <w:right w:val="none" w:sz="0" w:space="0" w:color="auto"/>
      </w:divBdr>
    </w:div>
    <w:div w:id="1923447348">
      <w:bodyDiv w:val="1"/>
      <w:marLeft w:val="0"/>
      <w:marRight w:val="0"/>
      <w:marTop w:val="0"/>
      <w:marBottom w:val="0"/>
      <w:divBdr>
        <w:top w:val="none" w:sz="0" w:space="0" w:color="auto"/>
        <w:left w:val="none" w:sz="0" w:space="0" w:color="auto"/>
        <w:bottom w:val="none" w:sz="0" w:space="0" w:color="auto"/>
        <w:right w:val="none" w:sz="0" w:space="0" w:color="auto"/>
      </w:divBdr>
    </w:div>
    <w:div w:id="1937516492">
      <w:bodyDiv w:val="1"/>
      <w:marLeft w:val="0"/>
      <w:marRight w:val="0"/>
      <w:marTop w:val="0"/>
      <w:marBottom w:val="0"/>
      <w:divBdr>
        <w:top w:val="none" w:sz="0" w:space="0" w:color="auto"/>
        <w:left w:val="none" w:sz="0" w:space="0" w:color="auto"/>
        <w:bottom w:val="none" w:sz="0" w:space="0" w:color="auto"/>
        <w:right w:val="none" w:sz="0" w:space="0" w:color="auto"/>
      </w:divBdr>
    </w:div>
    <w:div w:id="1988586043">
      <w:bodyDiv w:val="1"/>
      <w:marLeft w:val="0"/>
      <w:marRight w:val="0"/>
      <w:marTop w:val="0"/>
      <w:marBottom w:val="0"/>
      <w:divBdr>
        <w:top w:val="none" w:sz="0" w:space="0" w:color="auto"/>
        <w:left w:val="none" w:sz="0" w:space="0" w:color="auto"/>
        <w:bottom w:val="none" w:sz="0" w:space="0" w:color="auto"/>
        <w:right w:val="none" w:sz="0" w:space="0" w:color="auto"/>
      </w:divBdr>
    </w:div>
    <w:div w:id="2085252743">
      <w:bodyDiv w:val="1"/>
      <w:marLeft w:val="0"/>
      <w:marRight w:val="0"/>
      <w:marTop w:val="0"/>
      <w:marBottom w:val="0"/>
      <w:divBdr>
        <w:top w:val="none" w:sz="0" w:space="0" w:color="auto"/>
        <w:left w:val="none" w:sz="0" w:space="0" w:color="auto"/>
        <w:bottom w:val="none" w:sz="0" w:space="0" w:color="auto"/>
        <w:right w:val="none" w:sz="0" w:space="0" w:color="auto"/>
      </w:divBdr>
    </w:div>
    <w:div w:id="21368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ao.org/3/a0675e/a0675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23" Type="http://schemas.openxmlformats.org/officeDocument/2006/relationships/header" Target="header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2.xml"/><Relationship Id="rId22" Type="http://schemas.openxmlformats.org/officeDocument/2006/relationships/footer" Target="footer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allergenonline.org" TargetMode="External"/><Relationship Id="rId2" Type="http://schemas.openxmlformats.org/officeDocument/2006/relationships/hyperlink" Target="http://www.bvl.bund.de/SharedDocs/Downloads/06_Gentechnik/register_datenbanken/organismenliste_xls.html;jsessionid=F8D7A39D1FED4DD1FA972AA6A8FEC7F6.1_cid363" TargetMode="External"/><Relationship Id="rId1" Type="http://schemas.openxmlformats.org/officeDocument/2006/relationships/hyperlink" Target="http://www.brenda-enzymes.org/enzyme.php?ecno=3.2.1.15" TargetMode="External"/><Relationship Id="rId4" Type="http://schemas.openxmlformats.org/officeDocument/2006/relationships/hyperlink" Target="https://fermi.utmb.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WYJEUTFRV6AA-1170280245-146</_dlc_DocId>
    <_dlc_DocIdUrl xmlns="7e329c68-5cbf-4e54-96e5-e53e71021bd2">
      <Url>http://fsanzapps/applications/A1240/_layouts/15/DocIdRedir.aspx?ID=WYJEUTFRV6AA-1170280245-146</Url>
      <Description>WYJEUTFRV6AA-1170280245-146</Description>
    </_dlc_DocIdUrl>
    <_dlc_DocIdPersistId xmlns="7e329c68-5cbf-4e54-96e5-e53e71021bd2">true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EF25CF63-B863-410E-868E-043DFD084C1F}"/>
</file>

<file path=customXml/itemProps2.xml><?xml version="1.0" encoding="utf-8"?>
<ds:datastoreItem xmlns:ds="http://schemas.openxmlformats.org/officeDocument/2006/customXml" ds:itemID="{876BFCE7-8D96-4DB6-BA53-768F9879A3E2}"/>
</file>

<file path=customXml/itemProps3.xml><?xml version="1.0" encoding="utf-8"?>
<ds:datastoreItem xmlns:ds="http://schemas.openxmlformats.org/officeDocument/2006/customXml" ds:itemID="{1F8DE35B-299B-4113-B5AF-B3555A09611D}"/>
</file>

<file path=customXml/itemProps4.xml><?xml version="1.0" encoding="utf-8"?>
<ds:datastoreItem xmlns:ds="http://schemas.openxmlformats.org/officeDocument/2006/customXml" ds:itemID="{EF25CF63-B863-410E-868E-043DFD084C1F}">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876BFCE7-8D96-4DB6-BA53-768F9879A3E2}">
  <ds:schemaRefs>
    <ds:schemaRef ds:uri="http://schemas.microsoft.com/sharepoint/v3/contenttype/forms"/>
  </ds:schemaRefs>
</ds:datastoreItem>
</file>

<file path=customXml/itemProps6.xml><?xml version="1.0" encoding="utf-8"?>
<ds:datastoreItem xmlns:ds="http://schemas.openxmlformats.org/officeDocument/2006/customXml" ds:itemID="{4CED856A-4A8F-4C12-892F-EBFDAD0404A9}"/>
</file>

<file path=customXml/itemProps7.xml><?xml version="1.0" encoding="utf-8"?>
<ds:datastoreItem xmlns:ds="http://schemas.openxmlformats.org/officeDocument/2006/customXml" ds:itemID="{9675FC12-4FE9-443A-8622-9D5362335E75}"/>
</file>

<file path=docProps/app.xml><?xml version="1.0" encoding="utf-8"?>
<Properties xmlns="http://schemas.openxmlformats.org/officeDocument/2006/extended-properties" xmlns:vt="http://schemas.openxmlformats.org/officeDocument/2006/docPropsVTypes">
  <Template>Report - Supporting document</Template>
  <TotalTime>3683</TotalTime>
  <Pages>16</Pages>
  <Words>6297</Words>
  <Characters>35897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42110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sutheb</dc:creator>
  <cp:lastModifiedBy>Sally Ronaldson</cp:lastModifiedBy>
  <cp:revision>202</cp:revision>
  <cp:lastPrinted>2022-05-19T02:04:00Z</cp:lastPrinted>
  <dcterms:created xsi:type="dcterms:W3CDTF">2021-11-10T03:28:00Z</dcterms:created>
  <dcterms:modified xsi:type="dcterms:W3CDTF">2022-05-19T02:05:00Z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3007ac13-1fed-4c5c-a89c-e0b211045aeb</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37418d1a-68f8-4848-9aa0-c7a2773c5b91</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